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9" w:type="pct"/>
        <w:jc w:val="center"/>
        <w:tblLook w:val="04A0" w:firstRow="1" w:lastRow="0" w:firstColumn="1" w:lastColumn="0" w:noHBand="0" w:noVBand="1"/>
      </w:tblPr>
      <w:tblGrid>
        <w:gridCol w:w="8854"/>
      </w:tblGrid>
      <w:tr w:rsidR="00E31432" w:rsidRPr="006A0175" w14:paraId="61011AB9" w14:textId="77777777" w:rsidTr="00F71BC6">
        <w:trPr>
          <w:trHeight w:val="1758"/>
          <w:jc w:val="center"/>
        </w:trPr>
        <w:tc>
          <w:tcPr>
            <w:tcW w:w="5000" w:type="pct"/>
          </w:tcPr>
          <w:p w14:paraId="0C581E15" w14:textId="77777777" w:rsidR="00E31432" w:rsidRPr="006A0175" w:rsidRDefault="00E31432" w:rsidP="002E2342">
            <w:pPr>
              <w:pStyle w:val="Sinespaciado"/>
              <w:rPr>
                <w:rFonts w:ascii="Times New Roman" w:hAnsi="Times New Roman"/>
                <w:caps/>
                <w:sz w:val="24"/>
                <w:szCs w:val="24"/>
                <w:lang w:eastAsia="en-US"/>
              </w:rPr>
            </w:pPr>
            <w:r w:rsidRPr="006A0175">
              <w:rPr>
                <w:rFonts w:ascii="Times New Roman" w:hAnsi="Times New Roman"/>
                <w:caps/>
                <w:noProof/>
                <w:sz w:val="24"/>
                <w:szCs w:val="24"/>
              </w:rPr>
              <w:drawing>
                <wp:inline distT="0" distB="0" distL="0" distR="0" wp14:anchorId="0E43B263" wp14:editId="561F3FA7">
                  <wp:extent cx="1216660" cy="110744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1107440"/>
                          </a:xfrm>
                          <a:prstGeom prst="rect">
                            <a:avLst/>
                          </a:prstGeom>
                          <a:noFill/>
                          <a:ln>
                            <a:noFill/>
                          </a:ln>
                        </pic:spPr>
                      </pic:pic>
                    </a:graphicData>
                  </a:graphic>
                </wp:inline>
              </w:drawing>
            </w:r>
            <w:r w:rsidRPr="006A0175">
              <w:rPr>
                <w:rFonts w:ascii="Times New Roman" w:hAnsi="Times New Roman"/>
                <w:caps/>
                <w:sz w:val="24"/>
                <w:szCs w:val="24"/>
                <w:lang w:eastAsia="en-US"/>
              </w:rPr>
              <w:t xml:space="preserve">                                                                                </w:t>
            </w:r>
          </w:p>
          <w:p w14:paraId="2B86B511" w14:textId="77777777" w:rsidR="00E31432" w:rsidRPr="006A0175" w:rsidRDefault="00E31432" w:rsidP="002E2342">
            <w:pPr>
              <w:pStyle w:val="Sinespaciado"/>
              <w:rPr>
                <w:rFonts w:ascii="Times New Roman" w:hAnsi="Times New Roman"/>
                <w:caps/>
                <w:sz w:val="24"/>
                <w:szCs w:val="24"/>
                <w:lang w:eastAsia="en-US"/>
              </w:rPr>
            </w:pPr>
          </w:p>
          <w:p w14:paraId="69DD11CF" w14:textId="77777777" w:rsidR="00E31432" w:rsidRPr="006A0175" w:rsidRDefault="00E31432" w:rsidP="002E2342">
            <w:pPr>
              <w:pStyle w:val="Sinespaciado"/>
              <w:rPr>
                <w:rFonts w:ascii="Times New Roman" w:hAnsi="Times New Roman"/>
                <w:caps/>
                <w:sz w:val="24"/>
                <w:szCs w:val="24"/>
                <w:lang w:eastAsia="en-US"/>
              </w:rPr>
            </w:pPr>
          </w:p>
        </w:tc>
      </w:tr>
    </w:tbl>
    <w:p w14:paraId="026B13F6" w14:textId="77777777" w:rsidR="00E31432" w:rsidRPr="006A0175" w:rsidRDefault="00E31432" w:rsidP="002E2342">
      <w:pPr>
        <w:spacing w:after="0" w:line="240" w:lineRule="auto"/>
        <w:rPr>
          <w:rFonts w:ascii="Times New Roman" w:hAnsi="Times New Roman" w:cs="Times New Roman"/>
          <w:noProof/>
          <w:sz w:val="24"/>
          <w:szCs w:val="24"/>
        </w:rPr>
      </w:pPr>
    </w:p>
    <w:p w14:paraId="60E9754B" w14:textId="77777777" w:rsidR="00E31432" w:rsidRPr="006A0175" w:rsidRDefault="00E31432" w:rsidP="002E2342">
      <w:pPr>
        <w:spacing w:after="0" w:line="240" w:lineRule="auto"/>
        <w:rPr>
          <w:rFonts w:ascii="Times New Roman" w:hAnsi="Times New Roman" w:cs="Times New Roman"/>
          <w:noProof/>
          <w:sz w:val="24"/>
          <w:szCs w:val="24"/>
        </w:rPr>
      </w:pPr>
    </w:p>
    <w:tbl>
      <w:tblPr>
        <w:tblW w:w="5000" w:type="pct"/>
        <w:jc w:val="center"/>
        <w:tblLook w:val="04A0" w:firstRow="1" w:lastRow="0" w:firstColumn="1" w:lastColumn="0" w:noHBand="0" w:noVBand="1"/>
      </w:tblPr>
      <w:tblGrid>
        <w:gridCol w:w="8838"/>
      </w:tblGrid>
      <w:tr w:rsidR="00E31432" w:rsidRPr="006A0175" w14:paraId="476C2430" w14:textId="77777777" w:rsidTr="00F71BC6">
        <w:trPr>
          <w:trHeight w:val="1440"/>
          <w:jc w:val="center"/>
        </w:trPr>
        <w:tc>
          <w:tcPr>
            <w:tcW w:w="5000" w:type="pct"/>
            <w:tcBorders>
              <w:bottom w:val="single" w:sz="4" w:space="0" w:color="4F81BD"/>
            </w:tcBorders>
            <w:vAlign w:val="center"/>
          </w:tcPr>
          <w:p w14:paraId="7745AF89" w14:textId="71D51CE5" w:rsidR="00E31432" w:rsidRPr="00461431" w:rsidRDefault="00DB29AB" w:rsidP="002E2342">
            <w:pPr>
              <w:pStyle w:val="Sinespaciado"/>
              <w:jc w:val="center"/>
              <w:rPr>
                <w:rFonts w:ascii="Times New Roman" w:hAnsi="Times New Roman"/>
                <w:sz w:val="28"/>
                <w:szCs w:val="28"/>
              </w:rPr>
            </w:pPr>
            <w:r>
              <w:rPr>
                <w:rFonts w:ascii="Times New Roman" w:hAnsi="Times New Roman"/>
                <w:sz w:val="28"/>
                <w:szCs w:val="28"/>
              </w:rPr>
              <w:t>Efectividad de la Ley de Incentivo T</w:t>
            </w:r>
            <w:r w:rsidR="00E31432" w:rsidRPr="00461431">
              <w:rPr>
                <w:rFonts w:ascii="Times New Roman" w:hAnsi="Times New Roman"/>
                <w:sz w:val="28"/>
                <w:szCs w:val="28"/>
              </w:rPr>
              <w:t>ributario a la I+D</w:t>
            </w:r>
            <w:r w:rsidR="00461431" w:rsidRPr="00461431">
              <w:rPr>
                <w:rFonts w:ascii="Times New Roman" w:hAnsi="Times New Roman"/>
                <w:sz w:val="28"/>
                <w:szCs w:val="28"/>
              </w:rPr>
              <w:t xml:space="preserve"> basada en B-</w:t>
            </w:r>
            <w:proofErr w:type="spellStart"/>
            <w:r w:rsidR="00461431" w:rsidRPr="00461431">
              <w:rPr>
                <w:rFonts w:ascii="Times New Roman" w:hAnsi="Times New Roman"/>
                <w:sz w:val="28"/>
                <w:szCs w:val="28"/>
              </w:rPr>
              <w:t>Index</w:t>
            </w:r>
            <w:proofErr w:type="spellEnd"/>
          </w:p>
        </w:tc>
      </w:tr>
      <w:tr w:rsidR="00E31432" w:rsidRPr="006A0175" w14:paraId="32412FAC" w14:textId="77777777" w:rsidTr="00F71BC6">
        <w:trPr>
          <w:trHeight w:val="720"/>
          <w:jc w:val="center"/>
        </w:trPr>
        <w:tc>
          <w:tcPr>
            <w:tcW w:w="5000" w:type="pct"/>
            <w:tcBorders>
              <w:top w:val="single" w:sz="4" w:space="0" w:color="4F81BD"/>
            </w:tcBorders>
            <w:vAlign w:val="center"/>
          </w:tcPr>
          <w:p w14:paraId="1AB52460" w14:textId="77777777" w:rsidR="00E31432" w:rsidRPr="006A0175" w:rsidRDefault="00E31432" w:rsidP="002E2342">
            <w:pPr>
              <w:pStyle w:val="Sinespaciado"/>
              <w:jc w:val="center"/>
              <w:rPr>
                <w:rFonts w:ascii="Times New Roman" w:hAnsi="Times New Roman"/>
                <w:sz w:val="24"/>
                <w:szCs w:val="24"/>
              </w:rPr>
            </w:pPr>
          </w:p>
        </w:tc>
      </w:tr>
      <w:tr w:rsidR="00E31432" w:rsidRPr="006A0175" w14:paraId="1E6DD360" w14:textId="77777777" w:rsidTr="00F71BC6">
        <w:trPr>
          <w:trHeight w:val="360"/>
          <w:jc w:val="center"/>
        </w:trPr>
        <w:tc>
          <w:tcPr>
            <w:tcW w:w="5000" w:type="pct"/>
            <w:vAlign w:val="center"/>
          </w:tcPr>
          <w:p w14:paraId="09CEA730" w14:textId="77777777" w:rsidR="00E31432" w:rsidRPr="006A0175" w:rsidRDefault="00E31432" w:rsidP="002E2342">
            <w:pPr>
              <w:pStyle w:val="Sinespaciado"/>
              <w:jc w:val="center"/>
              <w:rPr>
                <w:rFonts w:ascii="Times New Roman" w:hAnsi="Times New Roman"/>
                <w:sz w:val="24"/>
                <w:szCs w:val="24"/>
              </w:rPr>
            </w:pPr>
          </w:p>
          <w:p w14:paraId="44E19DC1" w14:textId="4715CA8E" w:rsidR="00E31432" w:rsidRPr="006A0175" w:rsidRDefault="00F115ED" w:rsidP="002E2342">
            <w:pPr>
              <w:pStyle w:val="Sinespaciado"/>
              <w:jc w:val="center"/>
              <w:rPr>
                <w:rFonts w:ascii="Times New Roman" w:hAnsi="Times New Roman"/>
                <w:sz w:val="24"/>
                <w:szCs w:val="24"/>
              </w:rPr>
            </w:pPr>
            <w:r>
              <w:rPr>
                <w:rFonts w:ascii="Times New Roman" w:hAnsi="Times New Roman"/>
                <w:bCs/>
                <w:sz w:val="24"/>
                <w:szCs w:val="24"/>
              </w:rPr>
              <w:t>Diciembr</w:t>
            </w:r>
            <w:r w:rsidR="00D425FD">
              <w:rPr>
                <w:rFonts w:ascii="Times New Roman" w:hAnsi="Times New Roman"/>
                <w:bCs/>
                <w:sz w:val="24"/>
                <w:szCs w:val="24"/>
              </w:rPr>
              <w:t>e</w:t>
            </w:r>
            <w:r w:rsidR="00461431">
              <w:rPr>
                <w:rFonts w:ascii="Times New Roman" w:hAnsi="Times New Roman"/>
                <w:bCs/>
                <w:sz w:val="24"/>
                <w:szCs w:val="24"/>
              </w:rPr>
              <w:t xml:space="preserve"> </w:t>
            </w:r>
            <w:r w:rsidR="006A6F38" w:rsidRPr="006A0175">
              <w:rPr>
                <w:rFonts w:ascii="Times New Roman" w:hAnsi="Times New Roman"/>
                <w:bCs/>
                <w:sz w:val="24"/>
                <w:szCs w:val="24"/>
              </w:rPr>
              <w:t>2016</w:t>
            </w:r>
          </w:p>
        </w:tc>
      </w:tr>
      <w:tr w:rsidR="00E31432" w:rsidRPr="006A0175" w14:paraId="621C9600" w14:textId="77777777" w:rsidTr="00F71BC6">
        <w:trPr>
          <w:trHeight w:val="360"/>
          <w:jc w:val="center"/>
        </w:trPr>
        <w:tc>
          <w:tcPr>
            <w:tcW w:w="5000" w:type="pct"/>
            <w:vAlign w:val="center"/>
          </w:tcPr>
          <w:p w14:paraId="7652D0AE" w14:textId="77777777" w:rsidR="00E31432" w:rsidRPr="006A0175" w:rsidRDefault="00E31432" w:rsidP="002E2342">
            <w:pPr>
              <w:spacing w:after="0" w:line="240" w:lineRule="auto"/>
              <w:jc w:val="center"/>
              <w:rPr>
                <w:rFonts w:ascii="Times New Roman" w:hAnsi="Times New Roman" w:cs="Times New Roman"/>
                <w:b/>
                <w:bCs/>
                <w:sz w:val="24"/>
                <w:szCs w:val="24"/>
              </w:rPr>
            </w:pPr>
          </w:p>
        </w:tc>
      </w:tr>
      <w:tr w:rsidR="00E31432" w:rsidRPr="006A0175" w14:paraId="65D012AB" w14:textId="77777777" w:rsidTr="00F71BC6">
        <w:trPr>
          <w:trHeight w:val="440"/>
          <w:jc w:val="center"/>
        </w:trPr>
        <w:tc>
          <w:tcPr>
            <w:tcW w:w="5000" w:type="pct"/>
            <w:vAlign w:val="center"/>
          </w:tcPr>
          <w:p w14:paraId="7DB36253" w14:textId="77777777" w:rsidR="00E31432" w:rsidRPr="006A0175" w:rsidRDefault="00E31432" w:rsidP="002E2342">
            <w:pPr>
              <w:pStyle w:val="Sinespaciado"/>
              <w:jc w:val="center"/>
              <w:rPr>
                <w:rFonts w:ascii="Times New Roman" w:hAnsi="Times New Roman"/>
                <w:b/>
                <w:bCs/>
                <w:sz w:val="24"/>
                <w:szCs w:val="24"/>
              </w:rPr>
            </w:pPr>
          </w:p>
        </w:tc>
      </w:tr>
    </w:tbl>
    <w:p w14:paraId="28C78871" w14:textId="277159BD" w:rsidR="00704E44" w:rsidRPr="006A0175" w:rsidRDefault="00E31432" w:rsidP="00704E44">
      <w:pPr>
        <w:spacing w:after="0" w:line="240" w:lineRule="auto"/>
        <w:jc w:val="center"/>
        <w:rPr>
          <w:rFonts w:ascii="Times New Roman" w:hAnsi="Times New Roman" w:cs="Times New Roman"/>
          <w:sz w:val="24"/>
          <w:szCs w:val="24"/>
        </w:rPr>
      </w:pPr>
      <w:r w:rsidRPr="006A0175">
        <w:rPr>
          <w:rFonts w:ascii="Times New Roman" w:hAnsi="Times New Roman" w:cs="Times New Roman"/>
          <w:sz w:val="24"/>
          <w:szCs w:val="24"/>
        </w:rPr>
        <w:t>Res</w:t>
      </w:r>
      <w:r w:rsidR="00704E44">
        <w:rPr>
          <w:rFonts w:ascii="Times New Roman" w:hAnsi="Times New Roman" w:cs="Times New Roman"/>
          <w:sz w:val="24"/>
          <w:szCs w:val="24"/>
        </w:rPr>
        <w:t>umen</w:t>
      </w:r>
    </w:p>
    <w:p w14:paraId="128E7B92" w14:textId="49C0769C" w:rsidR="00704E44" w:rsidRDefault="00704E44" w:rsidP="00704E44">
      <w:pPr>
        <w:spacing w:after="0" w:line="240" w:lineRule="auto"/>
        <w:rPr>
          <w:rFonts w:ascii="Times New Roman" w:hAnsi="Times New Roman" w:cs="Times New Roman"/>
          <w:sz w:val="24"/>
          <w:szCs w:val="24"/>
        </w:rPr>
      </w:pPr>
    </w:p>
    <w:p w14:paraId="5A932218" w14:textId="4A92ABC8" w:rsidR="00E31432" w:rsidRPr="006A0175" w:rsidRDefault="00C85952" w:rsidP="00C859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Mediante la entrega de un contexto de política pública para incluir conocimiento en la producción de las empresas en Chile se justifica la lógica de implementar un incentivo tributario para el gasto privado en I+D, cuyo diseño es evaluado y validado m</w:t>
      </w:r>
      <w:r w:rsidR="00D20D39">
        <w:rPr>
          <w:rFonts w:ascii="Times New Roman" w:hAnsi="Times New Roman" w:cs="Times New Roman"/>
          <w:sz w:val="24"/>
          <w:szCs w:val="24"/>
        </w:rPr>
        <w:t>ediante un B-</w:t>
      </w:r>
      <w:proofErr w:type="spellStart"/>
      <w:r w:rsidR="00D20D39">
        <w:rPr>
          <w:rFonts w:ascii="Times New Roman" w:hAnsi="Times New Roman" w:cs="Times New Roman"/>
          <w:sz w:val="24"/>
          <w:szCs w:val="24"/>
        </w:rPr>
        <w:t>Index</w:t>
      </w:r>
      <w:proofErr w:type="spellEnd"/>
      <w:r w:rsidR="00D20D39">
        <w:rPr>
          <w:rFonts w:ascii="Times New Roman" w:hAnsi="Times New Roman" w:cs="Times New Roman"/>
          <w:sz w:val="24"/>
          <w:szCs w:val="24"/>
        </w:rPr>
        <w:t>.</w:t>
      </w:r>
    </w:p>
    <w:p w14:paraId="003F323E" w14:textId="77777777" w:rsidR="00E31432" w:rsidRPr="006A0175" w:rsidRDefault="00E31432" w:rsidP="002E2342">
      <w:pPr>
        <w:spacing w:after="0" w:line="240" w:lineRule="auto"/>
        <w:rPr>
          <w:rFonts w:ascii="Times New Roman" w:hAnsi="Times New Roman" w:cs="Times New Roman"/>
          <w:sz w:val="24"/>
          <w:szCs w:val="24"/>
        </w:rPr>
      </w:pPr>
    </w:p>
    <w:p w14:paraId="1377192B" w14:textId="77777777" w:rsidR="00E31432" w:rsidRPr="006A0175" w:rsidRDefault="00E31432" w:rsidP="002E2342">
      <w:pPr>
        <w:spacing w:after="0" w:line="240" w:lineRule="auto"/>
        <w:rPr>
          <w:rFonts w:ascii="Times New Roman" w:hAnsi="Times New Roman" w:cs="Times New Roman"/>
          <w:sz w:val="24"/>
          <w:szCs w:val="24"/>
        </w:rPr>
      </w:pPr>
    </w:p>
    <w:p w14:paraId="5B0D3347" w14:textId="77777777" w:rsidR="00201A0C" w:rsidRPr="006A0175" w:rsidRDefault="00201A0C" w:rsidP="002E2342">
      <w:pPr>
        <w:spacing w:after="0" w:line="240" w:lineRule="auto"/>
        <w:rPr>
          <w:rFonts w:ascii="Times New Roman" w:hAnsi="Times New Roman" w:cs="Times New Roman"/>
          <w:sz w:val="24"/>
          <w:szCs w:val="24"/>
        </w:rPr>
      </w:pPr>
    </w:p>
    <w:p w14:paraId="24751CE4" w14:textId="41B4A383" w:rsidR="00201A0C" w:rsidRDefault="00201A0C" w:rsidP="002E2342">
      <w:pPr>
        <w:spacing w:after="0" w:line="240" w:lineRule="auto"/>
        <w:rPr>
          <w:rFonts w:ascii="Times New Roman" w:hAnsi="Times New Roman" w:cs="Times New Roman"/>
          <w:sz w:val="24"/>
          <w:szCs w:val="24"/>
        </w:rPr>
      </w:pPr>
    </w:p>
    <w:p w14:paraId="49F1BE9B" w14:textId="6C031065" w:rsidR="00D425FD" w:rsidRDefault="00D425FD" w:rsidP="002E2342">
      <w:pPr>
        <w:spacing w:after="0" w:line="240" w:lineRule="auto"/>
        <w:rPr>
          <w:rFonts w:ascii="Times New Roman" w:hAnsi="Times New Roman" w:cs="Times New Roman"/>
          <w:sz w:val="24"/>
          <w:szCs w:val="24"/>
        </w:rPr>
      </w:pPr>
    </w:p>
    <w:p w14:paraId="4C98E33C" w14:textId="2052480B" w:rsidR="00D425FD" w:rsidRDefault="00D425FD" w:rsidP="002E2342">
      <w:pPr>
        <w:spacing w:after="0" w:line="240" w:lineRule="auto"/>
        <w:rPr>
          <w:rFonts w:ascii="Times New Roman" w:hAnsi="Times New Roman" w:cs="Times New Roman"/>
          <w:sz w:val="24"/>
          <w:szCs w:val="24"/>
        </w:rPr>
      </w:pPr>
    </w:p>
    <w:p w14:paraId="0FA2A045" w14:textId="47C00E4D" w:rsidR="00D425FD" w:rsidRDefault="00D425FD" w:rsidP="002E2342">
      <w:pPr>
        <w:spacing w:after="0" w:line="240" w:lineRule="auto"/>
        <w:rPr>
          <w:rFonts w:ascii="Times New Roman" w:hAnsi="Times New Roman" w:cs="Times New Roman"/>
          <w:sz w:val="24"/>
          <w:szCs w:val="24"/>
        </w:rPr>
      </w:pPr>
    </w:p>
    <w:p w14:paraId="2DF17624" w14:textId="67E3C2BA" w:rsidR="00D425FD" w:rsidRDefault="00D425FD" w:rsidP="002E2342">
      <w:pPr>
        <w:spacing w:after="0" w:line="240" w:lineRule="auto"/>
        <w:rPr>
          <w:rFonts w:ascii="Times New Roman" w:hAnsi="Times New Roman" w:cs="Times New Roman"/>
          <w:sz w:val="24"/>
          <w:szCs w:val="24"/>
        </w:rPr>
      </w:pPr>
    </w:p>
    <w:p w14:paraId="27B2386E" w14:textId="7D56423C" w:rsidR="00D425FD" w:rsidRDefault="00D425FD" w:rsidP="002E2342">
      <w:pPr>
        <w:spacing w:after="0" w:line="240" w:lineRule="auto"/>
        <w:rPr>
          <w:rFonts w:ascii="Times New Roman" w:hAnsi="Times New Roman" w:cs="Times New Roman"/>
          <w:sz w:val="24"/>
          <w:szCs w:val="24"/>
        </w:rPr>
      </w:pPr>
    </w:p>
    <w:p w14:paraId="7137E424" w14:textId="7AFDE87A" w:rsidR="00D425FD" w:rsidRDefault="00D425FD" w:rsidP="002E2342">
      <w:pPr>
        <w:spacing w:after="0" w:line="240" w:lineRule="auto"/>
        <w:rPr>
          <w:rFonts w:ascii="Times New Roman" w:hAnsi="Times New Roman" w:cs="Times New Roman"/>
          <w:sz w:val="24"/>
          <w:szCs w:val="24"/>
        </w:rPr>
      </w:pPr>
    </w:p>
    <w:p w14:paraId="79CC849B" w14:textId="3CE67D9B" w:rsidR="00D425FD" w:rsidRDefault="00D425FD" w:rsidP="002E2342">
      <w:pPr>
        <w:spacing w:after="0" w:line="240" w:lineRule="auto"/>
        <w:rPr>
          <w:rFonts w:ascii="Times New Roman" w:hAnsi="Times New Roman" w:cs="Times New Roman"/>
          <w:sz w:val="24"/>
          <w:szCs w:val="24"/>
        </w:rPr>
      </w:pPr>
    </w:p>
    <w:p w14:paraId="716D6EAF" w14:textId="77777777" w:rsidR="00D425FD" w:rsidRPr="006A0175" w:rsidRDefault="00D425FD" w:rsidP="002E2342">
      <w:pPr>
        <w:spacing w:after="0" w:line="240" w:lineRule="auto"/>
        <w:rPr>
          <w:rFonts w:ascii="Times New Roman" w:hAnsi="Times New Roman" w:cs="Times New Roman"/>
          <w:sz w:val="24"/>
          <w:szCs w:val="24"/>
        </w:rPr>
      </w:pPr>
    </w:p>
    <w:p w14:paraId="6C37AB29" w14:textId="77777777" w:rsidR="00F94C83" w:rsidRPr="006A0175" w:rsidRDefault="00F94C83" w:rsidP="002E2342">
      <w:pPr>
        <w:spacing w:after="0" w:line="240" w:lineRule="auto"/>
        <w:rPr>
          <w:rFonts w:ascii="Times New Roman" w:hAnsi="Times New Roman" w:cs="Times New Roman"/>
          <w:sz w:val="24"/>
          <w:szCs w:val="24"/>
        </w:rPr>
      </w:pPr>
    </w:p>
    <w:p w14:paraId="2EAE2826" w14:textId="77777777" w:rsidR="00F94C83" w:rsidRPr="006A0175" w:rsidRDefault="00F94C83" w:rsidP="002E2342">
      <w:pPr>
        <w:spacing w:after="0" w:line="240" w:lineRule="auto"/>
        <w:rPr>
          <w:rFonts w:ascii="Times New Roman" w:hAnsi="Times New Roman" w:cs="Times New Roman"/>
          <w:sz w:val="24"/>
          <w:szCs w:val="24"/>
        </w:rPr>
      </w:pPr>
    </w:p>
    <w:p w14:paraId="6A471524" w14:textId="129832B8" w:rsidR="00F94C83" w:rsidRDefault="00F94C83" w:rsidP="002E2342">
      <w:pPr>
        <w:spacing w:after="0" w:line="240" w:lineRule="auto"/>
        <w:rPr>
          <w:rFonts w:ascii="Times New Roman" w:hAnsi="Times New Roman" w:cs="Times New Roman"/>
          <w:sz w:val="24"/>
          <w:szCs w:val="24"/>
        </w:rPr>
      </w:pPr>
    </w:p>
    <w:p w14:paraId="73DE6A06" w14:textId="2F88B448" w:rsidR="00D425FD" w:rsidRPr="006A0175" w:rsidRDefault="00D425FD" w:rsidP="00A917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Documento elaborado por la División de Innovación con apoyo de la División de Política Comercial e Industrial.</w:t>
      </w:r>
    </w:p>
    <w:sdt>
      <w:sdtPr>
        <w:rPr>
          <w:rFonts w:ascii="Times New Roman" w:eastAsiaTheme="minorHAnsi" w:hAnsi="Times New Roman" w:cs="Times New Roman"/>
          <w:color w:val="auto"/>
          <w:sz w:val="24"/>
          <w:szCs w:val="24"/>
          <w:lang w:eastAsia="en-US"/>
        </w:rPr>
        <w:id w:val="-568269953"/>
        <w:docPartObj>
          <w:docPartGallery w:val="Table of Contents"/>
          <w:docPartUnique/>
        </w:docPartObj>
      </w:sdtPr>
      <w:sdtEndPr>
        <w:rPr>
          <w:b/>
          <w:bCs/>
        </w:rPr>
      </w:sdtEndPr>
      <w:sdtContent>
        <w:p w14:paraId="241EF6D9" w14:textId="70C17744" w:rsidR="001228C8" w:rsidRPr="0053598B" w:rsidRDefault="001228C8">
          <w:pPr>
            <w:pStyle w:val="TtuloTDC"/>
            <w:rPr>
              <w:rFonts w:ascii="Times New Roman" w:hAnsi="Times New Roman" w:cs="Times New Roman"/>
              <w:sz w:val="24"/>
              <w:szCs w:val="24"/>
            </w:rPr>
          </w:pPr>
          <w:r w:rsidRPr="0053598B">
            <w:rPr>
              <w:rFonts w:ascii="Times New Roman" w:hAnsi="Times New Roman" w:cs="Times New Roman"/>
              <w:sz w:val="24"/>
              <w:szCs w:val="24"/>
            </w:rPr>
            <w:t>Contenido</w:t>
          </w:r>
        </w:p>
        <w:p w14:paraId="49095CD8" w14:textId="77777777" w:rsidR="00C85952" w:rsidRPr="0053598B" w:rsidRDefault="00C85952" w:rsidP="00C85952">
          <w:pPr>
            <w:rPr>
              <w:rFonts w:ascii="Times New Roman" w:hAnsi="Times New Roman" w:cs="Times New Roman"/>
              <w:sz w:val="24"/>
              <w:szCs w:val="24"/>
              <w:lang w:eastAsia="es-ES"/>
            </w:rPr>
          </w:pPr>
        </w:p>
        <w:p w14:paraId="5B45FAA9" w14:textId="69DC700B" w:rsidR="0053598B" w:rsidRPr="0053598B" w:rsidRDefault="001228C8">
          <w:pPr>
            <w:pStyle w:val="TDC1"/>
            <w:tabs>
              <w:tab w:val="left" w:pos="440"/>
              <w:tab w:val="right" w:leader="dot" w:pos="8828"/>
            </w:tabs>
            <w:rPr>
              <w:rFonts w:ascii="Times New Roman" w:eastAsiaTheme="minorEastAsia" w:hAnsi="Times New Roman" w:cs="Times New Roman"/>
              <w:noProof/>
              <w:sz w:val="24"/>
              <w:szCs w:val="24"/>
              <w:lang w:eastAsia="es-ES"/>
            </w:rPr>
          </w:pPr>
          <w:r w:rsidRPr="0053598B">
            <w:rPr>
              <w:rFonts w:ascii="Times New Roman" w:hAnsi="Times New Roman" w:cs="Times New Roman"/>
              <w:sz w:val="24"/>
              <w:szCs w:val="24"/>
            </w:rPr>
            <w:fldChar w:fldCharType="begin"/>
          </w:r>
          <w:r w:rsidRPr="0053598B">
            <w:rPr>
              <w:rFonts w:ascii="Times New Roman" w:hAnsi="Times New Roman" w:cs="Times New Roman"/>
              <w:sz w:val="24"/>
              <w:szCs w:val="24"/>
            </w:rPr>
            <w:instrText xml:space="preserve"> TOC \o "1-3" \h \z \u </w:instrText>
          </w:r>
          <w:r w:rsidRPr="0053598B">
            <w:rPr>
              <w:rFonts w:ascii="Times New Roman" w:hAnsi="Times New Roman" w:cs="Times New Roman"/>
              <w:sz w:val="24"/>
              <w:szCs w:val="24"/>
            </w:rPr>
            <w:fldChar w:fldCharType="separate"/>
          </w:r>
          <w:hyperlink w:anchor="_Toc470081844" w:history="1">
            <w:r w:rsidR="0053598B" w:rsidRPr="0053598B">
              <w:rPr>
                <w:rStyle w:val="Hipervnculo"/>
                <w:rFonts w:ascii="Times New Roman" w:hAnsi="Times New Roman" w:cs="Times New Roman"/>
                <w:noProof/>
                <w:sz w:val="24"/>
                <w:szCs w:val="24"/>
              </w:rPr>
              <w:t>1.</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Contexto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_Toc470081844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3</w:t>
            </w:r>
            <w:r w:rsidR="0053598B" w:rsidRPr="0053598B">
              <w:rPr>
                <w:rFonts w:ascii="Times New Roman" w:hAnsi="Times New Roman" w:cs="Times New Roman"/>
                <w:noProof/>
                <w:webHidden/>
                <w:sz w:val="24"/>
                <w:szCs w:val="24"/>
              </w:rPr>
              <w:fldChar w:fldCharType="end"/>
            </w:r>
          </w:hyperlink>
        </w:p>
        <w:p w14:paraId="26AE0B00" w14:textId="4240AD9C"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45" w:history="1">
            <w:r w:rsidR="0053598B" w:rsidRPr="0053598B">
              <w:rPr>
                <w:rStyle w:val="Hipervnculo"/>
                <w:rFonts w:ascii="Times New Roman" w:hAnsi="Times New Roman" w:cs="Times New Roman"/>
                <w:noProof/>
                <w:sz w:val="24"/>
                <w:szCs w:val="24"/>
              </w:rPr>
              <w:t>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Convergencia, productividad y transformación productiva: la deuda pendiente</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_Toc470081845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3</w:t>
            </w:r>
            <w:r w:rsidR="0053598B" w:rsidRPr="0053598B">
              <w:rPr>
                <w:rFonts w:ascii="Times New Roman" w:hAnsi="Times New Roman" w:cs="Times New Roman"/>
                <w:noProof/>
                <w:webHidden/>
                <w:sz w:val="24"/>
                <w:szCs w:val="24"/>
              </w:rPr>
              <w:fldChar w:fldCharType="end"/>
            </w:r>
          </w:hyperlink>
        </w:p>
        <w:p w14:paraId="7DE8BE29" w14:textId="414ACB35"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46" w:history="1">
            <w:r w:rsidR="0053598B" w:rsidRPr="0053598B">
              <w:rPr>
                <w:rStyle w:val="Hipervnculo"/>
                <w:rFonts w:ascii="Times New Roman" w:hAnsi="Times New Roman" w:cs="Times New Roman"/>
                <w:noProof/>
                <w:sz w:val="24"/>
                <w:szCs w:val="24"/>
              </w:rPr>
              <w:t>ii.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Los vínculos entre innovación, I+D, productividad y crecimiento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_Toc470081846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6</w:t>
            </w:r>
            <w:r w:rsidR="0053598B" w:rsidRPr="0053598B">
              <w:rPr>
                <w:rFonts w:ascii="Times New Roman" w:hAnsi="Times New Roman" w:cs="Times New Roman"/>
                <w:noProof/>
                <w:webHidden/>
                <w:sz w:val="24"/>
                <w:szCs w:val="24"/>
              </w:rPr>
              <w:fldChar w:fldCharType="end"/>
            </w:r>
          </w:hyperlink>
        </w:p>
        <w:p w14:paraId="64D42FD1" w14:textId="49131015"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47" w:history="1">
            <w:r w:rsidR="0053598B" w:rsidRPr="0053598B">
              <w:rPr>
                <w:rStyle w:val="Hipervnculo"/>
                <w:rFonts w:ascii="Times New Roman" w:hAnsi="Times New Roman" w:cs="Times New Roman"/>
                <w:noProof/>
                <w:sz w:val="24"/>
                <w:szCs w:val="24"/>
              </w:rPr>
              <w:t>iii.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El papel del Estado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_Toc470081847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7</w:t>
            </w:r>
            <w:r w:rsidR="0053598B" w:rsidRPr="0053598B">
              <w:rPr>
                <w:rFonts w:ascii="Times New Roman" w:hAnsi="Times New Roman" w:cs="Times New Roman"/>
                <w:noProof/>
                <w:webHidden/>
                <w:sz w:val="24"/>
                <w:szCs w:val="24"/>
              </w:rPr>
              <w:fldChar w:fldCharType="end"/>
            </w:r>
          </w:hyperlink>
        </w:p>
        <w:p w14:paraId="3B3B47C2" w14:textId="415D3642"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48" w:history="1">
            <w:r w:rsidR="0053598B" w:rsidRPr="0053598B">
              <w:rPr>
                <w:rStyle w:val="Hipervnculo"/>
                <w:rFonts w:ascii="Times New Roman" w:hAnsi="Times New Roman" w:cs="Times New Roman"/>
                <w:noProof/>
                <w:sz w:val="24"/>
                <w:szCs w:val="24"/>
              </w:rPr>
              <w:t>iv.</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Estrategia pública para incentivar Investigación, Desarrollo e Innovación</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_Toc470081848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8</w:t>
            </w:r>
            <w:r w:rsidR="0053598B" w:rsidRPr="0053598B">
              <w:rPr>
                <w:rFonts w:ascii="Times New Roman" w:hAnsi="Times New Roman" w:cs="Times New Roman"/>
                <w:noProof/>
                <w:webHidden/>
                <w:sz w:val="24"/>
                <w:szCs w:val="24"/>
              </w:rPr>
              <w:fldChar w:fldCharType="end"/>
            </w:r>
          </w:hyperlink>
        </w:p>
        <w:p w14:paraId="6C3CA75A" w14:textId="5D4920B3" w:rsidR="0053598B" w:rsidRPr="0053598B" w:rsidRDefault="00CE39D4">
          <w:pPr>
            <w:pStyle w:val="TDC1"/>
            <w:tabs>
              <w:tab w:val="left" w:pos="440"/>
              <w:tab w:val="right" w:leader="dot" w:pos="8828"/>
            </w:tabs>
            <w:rPr>
              <w:rFonts w:ascii="Times New Roman" w:eastAsiaTheme="minorEastAsia" w:hAnsi="Times New Roman" w:cs="Times New Roman"/>
              <w:noProof/>
              <w:sz w:val="24"/>
              <w:szCs w:val="24"/>
              <w:lang w:eastAsia="es-ES"/>
            </w:rPr>
          </w:pPr>
          <w:hyperlink w:anchor="_Toc470081849" w:history="1">
            <w:r w:rsidR="0053598B" w:rsidRPr="0053598B">
              <w:rPr>
                <w:rStyle w:val="Hipervnculo"/>
                <w:rFonts w:ascii="Times New Roman" w:hAnsi="Times New Roman" w:cs="Times New Roman"/>
                <w:noProof/>
                <w:sz w:val="24"/>
                <w:szCs w:val="24"/>
              </w:rPr>
              <w:t>2.</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Ley de incentivo tributario a la I+D</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_Toc470081849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10</w:t>
            </w:r>
            <w:r w:rsidR="0053598B" w:rsidRPr="0053598B">
              <w:rPr>
                <w:rFonts w:ascii="Times New Roman" w:hAnsi="Times New Roman" w:cs="Times New Roman"/>
                <w:noProof/>
                <w:webHidden/>
                <w:sz w:val="24"/>
                <w:szCs w:val="24"/>
              </w:rPr>
              <w:fldChar w:fldCharType="end"/>
            </w:r>
          </w:hyperlink>
        </w:p>
        <w:p w14:paraId="6DED2BA4" w14:textId="3A4A2ED2"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50" w:history="1">
            <w:r w:rsidR="0053598B" w:rsidRPr="0053598B">
              <w:rPr>
                <w:rStyle w:val="Hipervnculo"/>
                <w:rFonts w:ascii="Times New Roman" w:hAnsi="Times New Roman" w:cs="Times New Roman"/>
                <w:noProof/>
                <w:sz w:val="24"/>
                <w:szCs w:val="24"/>
              </w:rPr>
              <w:t>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El mecanismo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_Toc470081850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10</w:t>
            </w:r>
            <w:r w:rsidR="0053598B" w:rsidRPr="0053598B">
              <w:rPr>
                <w:rFonts w:ascii="Times New Roman" w:hAnsi="Times New Roman" w:cs="Times New Roman"/>
                <w:noProof/>
                <w:webHidden/>
                <w:sz w:val="24"/>
                <w:szCs w:val="24"/>
              </w:rPr>
              <w:fldChar w:fldCharType="end"/>
            </w:r>
          </w:hyperlink>
        </w:p>
        <w:p w14:paraId="3EB02DD6" w14:textId="7EB760BF"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51" w:history="1">
            <w:r w:rsidR="0053598B" w:rsidRPr="0053598B">
              <w:rPr>
                <w:rStyle w:val="Hipervnculo"/>
                <w:rFonts w:ascii="Times New Roman" w:hAnsi="Times New Roman" w:cs="Times New Roman"/>
                <w:noProof/>
                <w:sz w:val="24"/>
                <w:szCs w:val="24"/>
              </w:rPr>
              <w:t>ii.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Estadística descriptiva</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_Toc470081851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11</w:t>
            </w:r>
            <w:r w:rsidR="0053598B" w:rsidRPr="0053598B">
              <w:rPr>
                <w:rFonts w:ascii="Times New Roman" w:hAnsi="Times New Roman" w:cs="Times New Roman"/>
                <w:noProof/>
                <w:webHidden/>
                <w:sz w:val="24"/>
                <w:szCs w:val="24"/>
              </w:rPr>
              <w:fldChar w:fldCharType="end"/>
            </w:r>
          </w:hyperlink>
        </w:p>
        <w:p w14:paraId="07DB3CF1" w14:textId="710508F7"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52" w:history="1">
            <w:r w:rsidR="0053598B" w:rsidRPr="0053598B">
              <w:rPr>
                <w:rStyle w:val="Hipervnculo"/>
                <w:rFonts w:ascii="Times New Roman" w:hAnsi="Times New Roman" w:cs="Times New Roman"/>
                <w:noProof/>
                <w:sz w:val="24"/>
                <w:szCs w:val="24"/>
              </w:rPr>
              <w:t>iii.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Cobertura</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_Toc470081852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14</w:t>
            </w:r>
            <w:r w:rsidR="0053598B" w:rsidRPr="0053598B">
              <w:rPr>
                <w:rFonts w:ascii="Times New Roman" w:hAnsi="Times New Roman" w:cs="Times New Roman"/>
                <w:noProof/>
                <w:webHidden/>
                <w:sz w:val="24"/>
                <w:szCs w:val="24"/>
              </w:rPr>
              <w:fldChar w:fldCharType="end"/>
            </w:r>
          </w:hyperlink>
        </w:p>
        <w:p w14:paraId="00BDA6FF" w14:textId="31BAAC5E" w:rsidR="0053598B" w:rsidRPr="0053598B" w:rsidRDefault="00CE39D4">
          <w:pPr>
            <w:pStyle w:val="TDC1"/>
            <w:tabs>
              <w:tab w:val="left" w:pos="440"/>
              <w:tab w:val="right" w:leader="dot" w:pos="8828"/>
            </w:tabs>
            <w:rPr>
              <w:rFonts w:ascii="Times New Roman" w:eastAsiaTheme="minorEastAsia" w:hAnsi="Times New Roman" w:cs="Times New Roman"/>
              <w:noProof/>
              <w:sz w:val="24"/>
              <w:szCs w:val="24"/>
              <w:lang w:eastAsia="es-ES"/>
            </w:rPr>
          </w:pPr>
          <w:hyperlink w:anchor="_Toc470081853" w:history="1">
            <w:r w:rsidR="0053598B" w:rsidRPr="0053598B">
              <w:rPr>
                <w:rStyle w:val="Hipervnculo"/>
                <w:rFonts w:ascii="Times New Roman" w:hAnsi="Times New Roman" w:cs="Times New Roman"/>
                <w:noProof/>
                <w:sz w:val="24"/>
                <w:szCs w:val="24"/>
              </w:rPr>
              <w:t>3.</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B-Index: “Generosidad” del incentivo tributario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_Toc470081853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17</w:t>
            </w:r>
            <w:r w:rsidR="0053598B" w:rsidRPr="0053598B">
              <w:rPr>
                <w:rFonts w:ascii="Times New Roman" w:hAnsi="Times New Roman" w:cs="Times New Roman"/>
                <w:noProof/>
                <w:webHidden/>
                <w:sz w:val="24"/>
                <w:szCs w:val="24"/>
              </w:rPr>
              <w:fldChar w:fldCharType="end"/>
            </w:r>
          </w:hyperlink>
        </w:p>
        <w:p w14:paraId="06BC3605" w14:textId="586D0851"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54" w:history="1">
            <w:r w:rsidR="0053598B" w:rsidRPr="0053598B">
              <w:rPr>
                <w:rStyle w:val="Hipervnculo"/>
                <w:rFonts w:ascii="Times New Roman" w:hAnsi="Times New Roman" w:cs="Times New Roman"/>
                <w:noProof/>
                <w:sz w:val="24"/>
                <w:szCs w:val="24"/>
              </w:rPr>
              <w:t>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Modelo teórico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_Toc470081854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17</w:t>
            </w:r>
            <w:r w:rsidR="0053598B" w:rsidRPr="0053598B">
              <w:rPr>
                <w:rFonts w:ascii="Times New Roman" w:hAnsi="Times New Roman" w:cs="Times New Roman"/>
                <w:noProof/>
                <w:webHidden/>
                <w:sz w:val="24"/>
                <w:szCs w:val="24"/>
              </w:rPr>
              <w:fldChar w:fldCharType="end"/>
            </w:r>
          </w:hyperlink>
        </w:p>
        <w:p w14:paraId="7D7105D3" w14:textId="23A4524C" w:rsidR="0053598B" w:rsidRPr="0053598B" w:rsidRDefault="00CE39D4">
          <w:pPr>
            <w:pStyle w:val="TDC2"/>
            <w:tabs>
              <w:tab w:val="left" w:pos="660"/>
              <w:tab w:val="right" w:leader="dot" w:pos="8828"/>
            </w:tabs>
            <w:rPr>
              <w:rFonts w:ascii="Times New Roman" w:eastAsiaTheme="minorEastAsia" w:hAnsi="Times New Roman" w:cs="Times New Roman"/>
              <w:noProof/>
              <w:sz w:val="24"/>
              <w:szCs w:val="24"/>
              <w:lang w:eastAsia="es-ES"/>
            </w:rPr>
          </w:pPr>
          <w:hyperlink w:anchor="_Toc470081855" w:history="1">
            <w:r w:rsidR="0053598B" w:rsidRPr="0053598B">
              <w:rPr>
                <w:rStyle w:val="Hipervnculo"/>
                <w:rFonts w:ascii="Times New Roman" w:hAnsi="Times New Roman" w:cs="Times New Roman"/>
                <w:noProof/>
                <w:sz w:val="24"/>
                <w:szCs w:val="24"/>
              </w:rPr>
              <w:t>ii.</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Modelo empírico</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_Toc470081855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19</w:t>
            </w:r>
            <w:r w:rsidR="0053598B" w:rsidRPr="0053598B">
              <w:rPr>
                <w:rFonts w:ascii="Times New Roman" w:hAnsi="Times New Roman" w:cs="Times New Roman"/>
                <w:noProof/>
                <w:webHidden/>
                <w:sz w:val="24"/>
                <w:szCs w:val="24"/>
              </w:rPr>
              <w:fldChar w:fldCharType="end"/>
            </w:r>
          </w:hyperlink>
        </w:p>
        <w:p w14:paraId="73F97B34" w14:textId="3BD6DB31" w:rsidR="0053598B" w:rsidRPr="0053598B" w:rsidRDefault="00CE39D4">
          <w:pPr>
            <w:pStyle w:val="TDC1"/>
            <w:tabs>
              <w:tab w:val="left" w:pos="440"/>
              <w:tab w:val="right" w:leader="dot" w:pos="8828"/>
            </w:tabs>
            <w:rPr>
              <w:rFonts w:ascii="Times New Roman" w:eastAsiaTheme="minorEastAsia" w:hAnsi="Times New Roman" w:cs="Times New Roman"/>
              <w:noProof/>
              <w:sz w:val="24"/>
              <w:szCs w:val="24"/>
              <w:lang w:eastAsia="es-ES"/>
            </w:rPr>
          </w:pPr>
          <w:hyperlink w:anchor="_Toc470081856" w:history="1">
            <w:r w:rsidR="0053598B" w:rsidRPr="0053598B">
              <w:rPr>
                <w:rStyle w:val="Hipervnculo"/>
                <w:rFonts w:ascii="Times New Roman" w:hAnsi="Times New Roman" w:cs="Times New Roman"/>
                <w:noProof/>
                <w:sz w:val="24"/>
                <w:szCs w:val="24"/>
              </w:rPr>
              <w:t>4.</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Conclusiones</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_Toc470081856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25</w:t>
            </w:r>
            <w:r w:rsidR="0053598B" w:rsidRPr="0053598B">
              <w:rPr>
                <w:rFonts w:ascii="Times New Roman" w:hAnsi="Times New Roman" w:cs="Times New Roman"/>
                <w:noProof/>
                <w:webHidden/>
                <w:sz w:val="24"/>
                <w:szCs w:val="24"/>
              </w:rPr>
              <w:fldChar w:fldCharType="end"/>
            </w:r>
          </w:hyperlink>
        </w:p>
        <w:p w14:paraId="44F872C0" w14:textId="7FB11ABC" w:rsidR="0053598B" w:rsidRPr="0053598B" w:rsidRDefault="00CE39D4">
          <w:pPr>
            <w:pStyle w:val="TDC1"/>
            <w:tabs>
              <w:tab w:val="left" w:pos="440"/>
              <w:tab w:val="right" w:leader="dot" w:pos="8828"/>
            </w:tabs>
            <w:rPr>
              <w:rFonts w:ascii="Times New Roman" w:eastAsiaTheme="minorEastAsia" w:hAnsi="Times New Roman" w:cs="Times New Roman"/>
              <w:noProof/>
              <w:sz w:val="24"/>
              <w:szCs w:val="24"/>
              <w:lang w:eastAsia="es-ES"/>
            </w:rPr>
          </w:pPr>
          <w:hyperlink w:anchor="_Toc470081857" w:history="1">
            <w:r w:rsidR="0053598B" w:rsidRPr="0053598B">
              <w:rPr>
                <w:rStyle w:val="Hipervnculo"/>
                <w:rFonts w:ascii="Times New Roman" w:hAnsi="Times New Roman" w:cs="Times New Roman"/>
                <w:noProof/>
                <w:sz w:val="24"/>
                <w:szCs w:val="24"/>
              </w:rPr>
              <w:t>5.</w:t>
            </w:r>
            <w:r w:rsidR="0053598B" w:rsidRPr="0053598B">
              <w:rPr>
                <w:rFonts w:ascii="Times New Roman" w:eastAsiaTheme="minorEastAsia" w:hAnsi="Times New Roman" w:cs="Times New Roman"/>
                <w:noProof/>
                <w:sz w:val="24"/>
                <w:szCs w:val="24"/>
                <w:lang w:eastAsia="es-ES"/>
              </w:rPr>
              <w:tab/>
            </w:r>
            <w:r w:rsidR="0053598B" w:rsidRPr="0053598B">
              <w:rPr>
                <w:rStyle w:val="Hipervnculo"/>
                <w:rFonts w:ascii="Times New Roman" w:hAnsi="Times New Roman" w:cs="Times New Roman"/>
                <w:noProof/>
                <w:sz w:val="24"/>
                <w:szCs w:val="24"/>
              </w:rPr>
              <w:t>Bibliografía</w:t>
            </w:r>
            <w:r w:rsidR="0053598B" w:rsidRPr="0053598B">
              <w:rPr>
                <w:rFonts w:ascii="Times New Roman" w:hAnsi="Times New Roman" w:cs="Times New Roman"/>
                <w:noProof/>
                <w:webHidden/>
                <w:sz w:val="24"/>
                <w:szCs w:val="24"/>
              </w:rPr>
              <w:tab/>
            </w:r>
            <w:r w:rsidR="0053598B" w:rsidRPr="0053598B">
              <w:rPr>
                <w:rFonts w:ascii="Times New Roman" w:hAnsi="Times New Roman" w:cs="Times New Roman"/>
                <w:noProof/>
                <w:webHidden/>
                <w:sz w:val="24"/>
                <w:szCs w:val="24"/>
              </w:rPr>
              <w:fldChar w:fldCharType="begin"/>
            </w:r>
            <w:r w:rsidR="0053598B" w:rsidRPr="0053598B">
              <w:rPr>
                <w:rFonts w:ascii="Times New Roman" w:hAnsi="Times New Roman" w:cs="Times New Roman"/>
                <w:noProof/>
                <w:webHidden/>
                <w:sz w:val="24"/>
                <w:szCs w:val="24"/>
              </w:rPr>
              <w:instrText xml:space="preserve"> PAGEREF _Toc470081857 \h </w:instrText>
            </w:r>
            <w:r w:rsidR="0053598B" w:rsidRPr="0053598B">
              <w:rPr>
                <w:rFonts w:ascii="Times New Roman" w:hAnsi="Times New Roman" w:cs="Times New Roman"/>
                <w:noProof/>
                <w:webHidden/>
                <w:sz w:val="24"/>
                <w:szCs w:val="24"/>
              </w:rPr>
            </w:r>
            <w:r w:rsidR="0053598B" w:rsidRPr="0053598B">
              <w:rPr>
                <w:rFonts w:ascii="Times New Roman" w:hAnsi="Times New Roman" w:cs="Times New Roman"/>
                <w:noProof/>
                <w:webHidden/>
                <w:sz w:val="24"/>
                <w:szCs w:val="24"/>
              </w:rPr>
              <w:fldChar w:fldCharType="separate"/>
            </w:r>
            <w:r w:rsidR="00CA6EEB">
              <w:rPr>
                <w:rFonts w:ascii="Times New Roman" w:hAnsi="Times New Roman" w:cs="Times New Roman"/>
                <w:noProof/>
                <w:webHidden/>
                <w:sz w:val="24"/>
                <w:szCs w:val="24"/>
              </w:rPr>
              <w:t>26</w:t>
            </w:r>
            <w:r w:rsidR="0053598B" w:rsidRPr="0053598B">
              <w:rPr>
                <w:rFonts w:ascii="Times New Roman" w:hAnsi="Times New Roman" w:cs="Times New Roman"/>
                <w:noProof/>
                <w:webHidden/>
                <w:sz w:val="24"/>
                <w:szCs w:val="24"/>
              </w:rPr>
              <w:fldChar w:fldCharType="end"/>
            </w:r>
          </w:hyperlink>
        </w:p>
        <w:p w14:paraId="52F09615" w14:textId="14DC1CB5" w:rsidR="001228C8" w:rsidRPr="0053598B" w:rsidRDefault="001228C8">
          <w:pPr>
            <w:rPr>
              <w:rFonts w:ascii="Times New Roman" w:hAnsi="Times New Roman" w:cs="Times New Roman"/>
              <w:sz w:val="24"/>
              <w:szCs w:val="24"/>
            </w:rPr>
          </w:pPr>
          <w:r w:rsidRPr="0053598B">
            <w:rPr>
              <w:rFonts w:ascii="Times New Roman" w:hAnsi="Times New Roman" w:cs="Times New Roman"/>
              <w:b/>
              <w:bCs/>
              <w:sz w:val="24"/>
              <w:szCs w:val="24"/>
            </w:rPr>
            <w:fldChar w:fldCharType="end"/>
          </w:r>
        </w:p>
      </w:sdtContent>
    </w:sdt>
    <w:p w14:paraId="404C9422" w14:textId="77777777" w:rsidR="006A0175" w:rsidRPr="006A0175" w:rsidRDefault="006A0175" w:rsidP="002E2342">
      <w:pPr>
        <w:spacing w:after="0" w:line="240" w:lineRule="auto"/>
        <w:rPr>
          <w:rFonts w:ascii="Times New Roman" w:hAnsi="Times New Roman" w:cs="Times New Roman"/>
          <w:sz w:val="24"/>
          <w:szCs w:val="24"/>
        </w:rPr>
      </w:pPr>
    </w:p>
    <w:p w14:paraId="37E255D4" w14:textId="0CAB91D7" w:rsidR="006A6F38" w:rsidRDefault="006A6F38" w:rsidP="002E2342">
      <w:pPr>
        <w:spacing w:after="0" w:line="240" w:lineRule="auto"/>
        <w:rPr>
          <w:rFonts w:ascii="Times New Roman" w:hAnsi="Times New Roman" w:cs="Times New Roman"/>
          <w:sz w:val="24"/>
          <w:szCs w:val="24"/>
        </w:rPr>
      </w:pPr>
    </w:p>
    <w:p w14:paraId="2D069DD4" w14:textId="71E194BF" w:rsidR="00111B9F" w:rsidRDefault="00111B9F" w:rsidP="002E2342">
      <w:pPr>
        <w:spacing w:after="0" w:line="240" w:lineRule="auto"/>
        <w:rPr>
          <w:rFonts w:ascii="Times New Roman" w:hAnsi="Times New Roman" w:cs="Times New Roman"/>
          <w:sz w:val="24"/>
          <w:szCs w:val="24"/>
        </w:rPr>
      </w:pPr>
    </w:p>
    <w:p w14:paraId="76144F35" w14:textId="042F8CC8" w:rsidR="00111B9F" w:rsidRDefault="00111B9F" w:rsidP="002E2342">
      <w:pPr>
        <w:spacing w:after="0" w:line="240" w:lineRule="auto"/>
        <w:rPr>
          <w:rFonts w:ascii="Times New Roman" w:hAnsi="Times New Roman" w:cs="Times New Roman"/>
          <w:sz w:val="24"/>
          <w:szCs w:val="24"/>
        </w:rPr>
      </w:pPr>
    </w:p>
    <w:p w14:paraId="2F38971E" w14:textId="290A3829" w:rsidR="00111B9F" w:rsidRDefault="00111B9F" w:rsidP="002E2342">
      <w:pPr>
        <w:spacing w:after="0" w:line="240" w:lineRule="auto"/>
        <w:rPr>
          <w:rFonts w:ascii="Times New Roman" w:hAnsi="Times New Roman" w:cs="Times New Roman"/>
          <w:sz w:val="24"/>
          <w:szCs w:val="24"/>
        </w:rPr>
      </w:pPr>
    </w:p>
    <w:p w14:paraId="081943B5" w14:textId="4C471CD1" w:rsidR="00111B9F" w:rsidRDefault="00111B9F" w:rsidP="002E2342">
      <w:pPr>
        <w:spacing w:after="0" w:line="240" w:lineRule="auto"/>
        <w:rPr>
          <w:rFonts w:ascii="Times New Roman" w:hAnsi="Times New Roman" w:cs="Times New Roman"/>
          <w:sz w:val="24"/>
          <w:szCs w:val="24"/>
        </w:rPr>
      </w:pPr>
    </w:p>
    <w:p w14:paraId="5F296241" w14:textId="51AB39C5" w:rsidR="00111B9F" w:rsidRDefault="00111B9F" w:rsidP="002E2342">
      <w:pPr>
        <w:spacing w:after="0" w:line="240" w:lineRule="auto"/>
        <w:rPr>
          <w:rFonts w:ascii="Times New Roman" w:hAnsi="Times New Roman" w:cs="Times New Roman"/>
          <w:sz w:val="24"/>
          <w:szCs w:val="24"/>
        </w:rPr>
      </w:pPr>
    </w:p>
    <w:p w14:paraId="30D41275" w14:textId="52D4EED1" w:rsidR="00111B9F" w:rsidRDefault="00111B9F" w:rsidP="002E2342">
      <w:pPr>
        <w:spacing w:after="0" w:line="240" w:lineRule="auto"/>
        <w:rPr>
          <w:rFonts w:ascii="Times New Roman" w:hAnsi="Times New Roman" w:cs="Times New Roman"/>
          <w:sz w:val="24"/>
          <w:szCs w:val="24"/>
        </w:rPr>
      </w:pPr>
    </w:p>
    <w:p w14:paraId="4DDA995F" w14:textId="563ABC5C" w:rsidR="00111B9F" w:rsidRDefault="00111B9F" w:rsidP="002E2342">
      <w:pPr>
        <w:spacing w:after="0" w:line="240" w:lineRule="auto"/>
        <w:rPr>
          <w:rFonts w:ascii="Times New Roman" w:hAnsi="Times New Roman" w:cs="Times New Roman"/>
          <w:sz w:val="24"/>
          <w:szCs w:val="24"/>
        </w:rPr>
      </w:pPr>
    </w:p>
    <w:p w14:paraId="3B0A0263" w14:textId="3126439F" w:rsidR="00111B9F" w:rsidRDefault="00111B9F" w:rsidP="002E2342">
      <w:pPr>
        <w:spacing w:after="0" w:line="240" w:lineRule="auto"/>
        <w:rPr>
          <w:rFonts w:ascii="Times New Roman" w:hAnsi="Times New Roman" w:cs="Times New Roman"/>
          <w:sz w:val="24"/>
          <w:szCs w:val="24"/>
        </w:rPr>
      </w:pPr>
    </w:p>
    <w:p w14:paraId="23FCF52B" w14:textId="3A563442" w:rsidR="00C36F19" w:rsidRDefault="00C36F19" w:rsidP="002E2342">
      <w:pPr>
        <w:spacing w:after="0" w:line="240" w:lineRule="auto"/>
        <w:rPr>
          <w:rFonts w:ascii="Times New Roman" w:hAnsi="Times New Roman" w:cs="Times New Roman"/>
          <w:sz w:val="24"/>
          <w:szCs w:val="24"/>
        </w:rPr>
      </w:pPr>
    </w:p>
    <w:p w14:paraId="181FA650" w14:textId="113C18D7" w:rsidR="00C36F19" w:rsidRDefault="00C36F19" w:rsidP="002E2342">
      <w:pPr>
        <w:spacing w:after="0" w:line="240" w:lineRule="auto"/>
        <w:rPr>
          <w:rFonts w:ascii="Times New Roman" w:hAnsi="Times New Roman" w:cs="Times New Roman"/>
          <w:sz w:val="24"/>
          <w:szCs w:val="24"/>
        </w:rPr>
      </w:pPr>
    </w:p>
    <w:p w14:paraId="4991B869" w14:textId="765C78D8" w:rsidR="00C36F19" w:rsidRDefault="00C36F19" w:rsidP="002E2342">
      <w:pPr>
        <w:spacing w:after="0" w:line="240" w:lineRule="auto"/>
        <w:rPr>
          <w:rFonts w:ascii="Times New Roman" w:hAnsi="Times New Roman" w:cs="Times New Roman"/>
          <w:sz w:val="24"/>
          <w:szCs w:val="24"/>
        </w:rPr>
      </w:pPr>
    </w:p>
    <w:p w14:paraId="5494FB77" w14:textId="727FEDF4" w:rsidR="00C36F19" w:rsidRDefault="00C36F19" w:rsidP="002E2342">
      <w:pPr>
        <w:spacing w:after="0" w:line="240" w:lineRule="auto"/>
        <w:rPr>
          <w:rFonts w:ascii="Times New Roman" w:hAnsi="Times New Roman" w:cs="Times New Roman"/>
          <w:sz w:val="24"/>
          <w:szCs w:val="24"/>
        </w:rPr>
      </w:pPr>
    </w:p>
    <w:p w14:paraId="30D88ECC" w14:textId="7EEAE3F9" w:rsidR="00C36F19" w:rsidRDefault="00C36F19" w:rsidP="002E2342">
      <w:pPr>
        <w:spacing w:after="0" w:line="240" w:lineRule="auto"/>
        <w:rPr>
          <w:rFonts w:ascii="Times New Roman" w:hAnsi="Times New Roman" w:cs="Times New Roman"/>
          <w:sz w:val="24"/>
          <w:szCs w:val="24"/>
        </w:rPr>
      </w:pPr>
    </w:p>
    <w:p w14:paraId="1438CCAF" w14:textId="36D59EBC" w:rsidR="00C36F19" w:rsidRDefault="00C36F19" w:rsidP="002E2342">
      <w:pPr>
        <w:spacing w:after="0" w:line="240" w:lineRule="auto"/>
        <w:rPr>
          <w:rFonts w:ascii="Times New Roman" w:hAnsi="Times New Roman" w:cs="Times New Roman"/>
          <w:sz w:val="24"/>
          <w:szCs w:val="24"/>
        </w:rPr>
      </w:pPr>
    </w:p>
    <w:p w14:paraId="3C3764CB" w14:textId="77777777" w:rsidR="00C85952" w:rsidRDefault="00C85952" w:rsidP="002E2342">
      <w:pPr>
        <w:spacing w:after="0" w:line="240" w:lineRule="auto"/>
        <w:rPr>
          <w:rFonts w:ascii="Times New Roman" w:hAnsi="Times New Roman" w:cs="Times New Roman"/>
          <w:sz w:val="24"/>
          <w:szCs w:val="24"/>
        </w:rPr>
      </w:pPr>
    </w:p>
    <w:p w14:paraId="54C5BF8A" w14:textId="259A1D94" w:rsidR="00111B9F" w:rsidRPr="006A0175" w:rsidRDefault="00111B9F" w:rsidP="002E2342">
      <w:pPr>
        <w:spacing w:after="0" w:line="240" w:lineRule="auto"/>
        <w:rPr>
          <w:rFonts w:ascii="Times New Roman" w:hAnsi="Times New Roman" w:cs="Times New Roman"/>
          <w:sz w:val="24"/>
          <w:szCs w:val="24"/>
        </w:rPr>
      </w:pPr>
    </w:p>
    <w:p w14:paraId="6091B28C" w14:textId="73D96FEE" w:rsidR="00F94C83" w:rsidRPr="00111B9F" w:rsidRDefault="001228C8" w:rsidP="00F94C83">
      <w:pPr>
        <w:pStyle w:val="Ttulo1"/>
      </w:pPr>
      <w:bookmarkStart w:id="0" w:name="_Toc470081844"/>
      <w:r w:rsidRPr="001228C8">
        <w:lastRenderedPageBreak/>
        <w:t>Contexto</w:t>
      </w:r>
      <w:bookmarkEnd w:id="0"/>
    </w:p>
    <w:p w14:paraId="3A51FCD6" w14:textId="41015D25" w:rsidR="00F94C83" w:rsidRPr="00111B9F" w:rsidRDefault="00C8294C" w:rsidP="00F94C83">
      <w:pPr>
        <w:pStyle w:val="Ttulo2"/>
      </w:pPr>
      <w:bookmarkStart w:id="1" w:name="_Toc470081845"/>
      <w:r w:rsidRPr="006A0175">
        <w:t>Convergencia, productividad y transformación productiva: la deuda pendiente</w:t>
      </w:r>
      <w:bookmarkEnd w:id="1"/>
    </w:p>
    <w:p w14:paraId="163D765D" w14:textId="28F510A1" w:rsidR="009A4A23" w:rsidRPr="008759A1" w:rsidRDefault="00F85C9E" w:rsidP="008759A1">
      <w:pPr>
        <w:jc w:val="both"/>
        <w:rPr>
          <w:rFonts w:ascii="Times New Roman" w:hAnsi="Times New Roman" w:cs="Times New Roman"/>
          <w:sz w:val="24"/>
          <w:szCs w:val="24"/>
        </w:rPr>
      </w:pPr>
      <w:r w:rsidRPr="008759A1">
        <w:rPr>
          <w:rFonts w:ascii="Times New Roman" w:hAnsi="Times New Roman" w:cs="Times New Roman"/>
          <w:sz w:val="24"/>
          <w:szCs w:val="24"/>
        </w:rPr>
        <w:t>Las economías emergentes cuyas tasas de crecimiento, considerando sus características específicas, se acercaron a</w:t>
      </w:r>
      <w:r w:rsidR="001C090B" w:rsidRPr="008759A1">
        <w:rPr>
          <w:rFonts w:ascii="Times New Roman" w:hAnsi="Times New Roman" w:cs="Times New Roman"/>
          <w:sz w:val="24"/>
          <w:szCs w:val="24"/>
        </w:rPr>
        <w:t xml:space="preserve"> las de economías desarrolladas</w:t>
      </w:r>
      <w:r w:rsidRPr="008759A1">
        <w:rPr>
          <w:rFonts w:ascii="Times New Roman" w:hAnsi="Times New Roman" w:cs="Times New Roman"/>
          <w:sz w:val="24"/>
          <w:szCs w:val="24"/>
        </w:rPr>
        <w:t xml:space="preserve"> </w:t>
      </w:r>
      <w:r w:rsidR="001C090B" w:rsidRPr="008759A1">
        <w:rPr>
          <w:rFonts w:ascii="Times New Roman" w:hAnsi="Times New Roman" w:cs="Times New Roman"/>
          <w:sz w:val="24"/>
          <w:szCs w:val="24"/>
        </w:rPr>
        <w:t>(</w:t>
      </w:r>
      <w:r w:rsidRPr="008759A1">
        <w:rPr>
          <w:rFonts w:ascii="Times New Roman" w:hAnsi="Times New Roman" w:cs="Times New Roman"/>
          <w:sz w:val="24"/>
          <w:szCs w:val="24"/>
        </w:rPr>
        <w:t>lo que en la literatura económica se conoce como convergencia condicionada</w:t>
      </w:r>
      <w:r w:rsidR="009A4A23" w:rsidRPr="008759A1">
        <w:rPr>
          <w:rFonts w:ascii="Times New Roman" w:hAnsi="Times New Roman" w:cs="Times New Roman"/>
          <w:sz w:val="24"/>
          <w:szCs w:val="24"/>
          <w:vertAlign w:val="superscript"/>
        </w:rPr>
        <w:footnoteReference w:id="1"/>
      </w:r>
      <w:r w:rsidR="001C090B" w:rsidRPr="008759A1">
        <w:rPr>
          <w:rFonts w:ascii="Times New Roman" w:hAnsi="Times New Roman" w:cs="Times New Roman"/>
          <w:sz w:val="24"/>
          <w:szCs w:val="24"/>
        </w:rPr>
        <w:t>)</w:t>
      </w:r>
      <w:r w:rsidR="009A4A23" w:rsidRPr="008759A1">
        <w:rPr>
          <w:rFonts w:ascii="Times New Roman" w:hAnsi="Times New Roman" w:cs="Times New Roman"/>
          <w:sz w:val="24"/>
          <w:szCs w:val="24"/>
        </w:rPr>
        <w:t>, lo lograron mediante procesos de aprendizaje tecnológico</w:t>
      </w:r>
      <w:r w:rsidR="00D31061" w:rsidRPr="008759A1">
        <w:rPr>
          <w:rFonts w:ascii="Times New Roman" w:hAnsi="Times New Roman" w:cs="Times New Roman"/>
          <w:sz w:val="24"/>
          <w:szCs w:val="24"/>
        </w:rPr>
        <w:t>,</w:t>
      </w:r>
      <w:r w:rsidR="009A4A23" w:rsidRPr="008759A1">
        <w:rPr>
          <w:rFonts w:ascii="Times New Roman" w:hAnsi="Times New Roman" w:cs="Times New Roman"/>
          <w:sz w:val="24"/>
          <w:szCs w:val="24"/>
        </w:rPr>
        <w:t xml:space="preserve"> diversificación y creación de nuevos sectores productivos. </w:t>
      </w:r>
      <w:r w:rsidR="001F604C" w:rsidRPr="008759A1">
        <w:rPr>
          <w:rFonts w:ascii="Times New Roman" w:hAnsi="Times New Roman" w:cs="Times New Roman"/>
          <w:sz w:val="24"/>
          <w:szCs w:val="24"/>
        </w:rPr>
        <w:t xml:space="preserve">Desde un punto de vista </w:t>
      </w:r>
      <w:r w:rsidR="001228C8" w:rsidRPr="008759A1">
        <w:rPr>
          <w:rFonts w:ascii="Times New Roman" w:hAnsi="Times New Roman" w:cs="Times New Roman"/>
          <w:sz w:val="24"/>
          <w:szCs w:val="24"/>
        </w:rPr>
        <w:t xml:space="preserve">económico </w:t>
      </w:r>
      <w:r w:rsidR="001F604C" w:rsidRPr="008759A1">
        <w:rPr>
          <w:rFonts w:ascii="Times New Roman" w:hAnsi="Times New Roman" w:cs="Times New Roman"/>
          <w:sz w:val="24"/>
          <w:szCs w:val="24"/>
        </w:rPr>
        <w:t>clásico se trata del</w:t>
      </w:r>
      <w:r w:rsidR="007C6892" w:rsidRPr="008759A1">
        <w:rPr>
          <w:rFonts w:ascii="Times New Roman" w:hAnsi="Times New Roman" w:cs="Times New Roman"/>
          <w:sz w:val="24"/>
          <w:szCs w:val="24"/>
        </w:rPr>
        <w:t xml:space="preserve"> </w:t>
      </w:r>
      <w:r w:rsidR="001F604C" w:rsidRPr="008759A1">
        <w:rPr>
          <w:rFonts w:ascii="Times New Roman" w:hAnsi="Times New Roman" w:cs="Times New Roman"/>
          <w:sz w:val="24"/>
          <w:szCs w:val="24"/>
        </w:rPr>
        <w:t>concepto</w:t>
      </w:r>
      <w:r w:rsidR="00D31061" w:rsidRPr="008759A1">
        <w:rPr>
          <w:rFonts w:ascii="Times New Roman" w:hAnsi="Times New Roman" w:cs="Times New Roman"/>
          <w:sz w:val="24"/>
          <w:szCs w:val="24"/>
        </w:rPr>
        <w:t xml:space="preserve"> </w:t>
      </w:r>
      <w:r w:rsidR="007C6892" w:rsidRPr="008759A1">
        <w:rPr>
          <w:rFonts w:ascii="Times New Roman" w:hAnsi="Times New Roman" w:cs="Times New Roman"/>
          <w:sz w:val="24"/>
          <w:szCs w:val="24"/>
        </w:rPr>
        <w:t>de división y</w:t>
      </w:r>
      <w:r w:rsidR="009A4A23" w:rsidRPr="008759A1">
        <w:rPr>
          <w:rFonts w:ascii="Times New Roman" w:hAnsi="Times New Roman" w:cs="Times New Roman"/>
          <w:sz w:val="24"/>
          <w:szCs w:val="24"/>
        </w:rPr>
        <w:t xml:space="preserve"> especialización del trabajo mejorando la eficiencia productiva, que al mismo tiempo complejiza las relaciones dentro de la estructura productiva. En el caso de las economías latinoamericanas, a pesar de </w:t>
      </w:r>
      <w:r w:rsidR="00D31061" w:rsidRPr="008759A1">
        <w:rPr>
          <w:rFonts w:ascii="Times New Roman" w:hAnsi="Times New Roman" w:cs="Times New Roman"/>
          <w:sz w:val="24"/>
          <w:szCs w:val="24"/>
        </w:rPr>
        <w:t xml:space="preserve">encontrarse </w:t>
      </w:r>
      <w:r w:rsidR="009A4A23" w:rsidRPr="008759A1">
        <w:rPr>
          <w:rFonts w:ascii="Times New Roman" w:hAnsi="Times New Roman" w:cs="Times New Roman"/>
          <w:sz w:val="24"/>
          <w:szCs w:val="24"/>
        </w:rPr>
        <w:t xml:space="preserve">en una senda de convergencia, no </w:t>
      </w:r>
      <w:r w:rsidR="00D31061" w:rsidRPr="008759A1">
        <w:rPr>
          <w:rFonts w:ascii="Times New Roman" w:hAnsi="Times New Roman" w:cs="Times New Roman"/>
          <w:sz w:val="24"/>
          <w:szCs w:val="24"/>
        </w:rPr>
        <w:t>han</w:t>
      </w:r>
      <w:r w:rsidR="007A2CA7" w:rsidRPr="008759A1">
        <w:rPr>
          <w:rFonts w:ascii="Times New Roman" w:hAnsi="Times New Roman" w:cs="Times New Roman"/>
          <w:sz w:val="24"/>
          <w:szCs w:val="24"/>
        </w:rPr>
        <w:t xml:space="preserve"> </w:t>
      </w:r>
      <w:r w:rsidR="009A4A23" w:rsidRPr="008759A1">
        <w:rPr>
          <w:rFonts w:ascii="Times New Roman" w:hAnsi="Times New Roman" w:cs="Times New Roman"/>
          <w:sz w:val="24"/>
          <w:szCs w:val="24"/>
        </w:rPr>
        <w:t>podido perpetuar ciclos económicos virtuosos</w:t>
      </w:r>
      <w:r w:rsidR="009A4A23" w:rsidRPr="008759A1">
        <w:rPr>
          <w:rFonts w:ascii="Times New Roman" w:hAnsi="Times New Roman" w:cs="Times New Roman"/>
          <w:sz w:val="24"/>
          <w:szCs w:val="24"/>
          <w:vertAlign w:val="superscript"/>
        </w:rPr>
        <w:footnoteReference w:id="2"/>
      </w:r>
      <w:r w:rsidR="009A4A23" w:rsidRPr="008759A1">
        <w:rPr>
          <w:rFonts w:ascii="Times New Roman" w:hAnsi="Times New Roman" w:cs="Times New Roman"/>
          <w:sz w:val="24"/>
          <w:szCs w:val="24"/>
        </w:rPr>
        <w:t xml:space="preserve"> por largo tiempo (Palma, 2010</w:t>
      </w:r>
      <w:r w:rsidR="006D22CA" w:rsidRPr="008759A1">
        <w:rPr>
          <w:rFonts w:ascii="Times New Roman" w:hAnsi="Times New Roman" w:cs="Times New Roman"/>
          <w:sz w:val="24"/>
          <w:szCs w:val="24"/>
        </w:rPr>
        <w:t xml:space="preserve">; Pérez, </w:t>
      </w:r>
      <w:proofErr w:type="spellStart"/>
      <w:r w:rsidR="006D22CA" w:rsidRPr="008759A1">
        <w:rPr>
          <w:rFonts w:ascii="Times New Roman" w:hAnsi="Times New Roman" w:cs="Times New Roman"/>
          <w:sz w:val="24"/>
          <w:szCs w:val="24"/>
        </w:rPr>
        <w:t>Titelman</w:t>
      </w:r>
      <w:proofErr w:type="spellEnd"/>
      <w:r w:rsidR="006D22CA" w:rsidRPr="008759A1">
        <w:rPr>
          <w:rFonts w:ascii="Times New Roman" w:hAnsi="Times New Roman" w:cs="Times New Roman"/>
          <w:sz w:val="24"/>
          <w:szCs w:val="24"/>
        </w:rPr>
        <w:t xml:space="preserve"> y Carvallo, 2014</w:t>
      </w:r>
      <w:r w:rsidR="009A4A23" w:rsidRPr="008759A1">
        <w:rPr>
          <w:rFonts w:ascii="Times New Roman" w:hAnsi="Times New Roman" w:cs="Times New Roman"/>
          <w:sz w:val="24"/>
          <w:szCs w:val="24"/>
        </w:rPr>
        <w:t xml:space="preserve">). El debate se centra entonces en cuál </w:t>
      </w:r>
      <w:r w:rsidR="00D31061" w:rsidRPr="008759A1">
        <w:rPr>
          <w:rFonts w:ascii="Times New Roman" w:hAnsi="Times New Roman" w:cs="Times New Roman"/>
          <w:sz w:val="24"/>
          <w:szCs w:val="24"/>
        </w:rPr>
        <w:t>ha sido la estrategia</w:t>
      </w:r>
      <w:r w:rsidR="009A4A23" w:rsidRPr="008759A1">
        <w:rPr>
          <w:rFonts w:ascii="Times New Roman" w:hAnsi="Times New Roman" w:cs="Times New Roman"/>
          <w:sz w:val="24"/>
          <w:szCs w:val="24"/>
        </w:rPr>
        <w:t xml:space="preserve"> de las economías que han logrado alcanzar a los países </w:t>
      </w:r>
      <w:r w:rsidR="001228C8" w:rsidRPr="008759A1">
        <w:rPr>
          <w:rFonts w:ascii="Times New Roman" w:hAnsi="Times New Roman" w:cs="Times New Roman"/>
          <w:sz w:val="24"/>
          <w:szCs w:val="24"/>
        </w:rPr>
        <w:t>desarrollados</w:t>
      </w:r>
      <w:r w:rsidR="009A4A23" w:rsidRPr="008759A1">
        <w:rPr>
          <w:rFonts w:ascii="Times New Roman" w:hAnsi="Times New Roman" w:cs="Times New Roman"/>
          <w:sz w:val="24"/>
          <w:szCs w:val="24"/>
        </w:rPr>
        <w:t xml:space="preserve">. Por una </w:t>
      </w:r>
      <w:r w:rsidR="0006047C" w:rsidRPr="008759A1">
        <w:rPr>
          <w:rFonts w:ascii="Times New Roman" w:hAnsi="Times New Roman" w:cs="Times New Roman"/>
          <w:sz w:val="24"/>
          <w:szCs w:val="24"/>
        </w:rPr>
        <w:t>parte,</w:t>
      </w:r>
      <w:r w:rsidR="009A4A23" w:rsidRPr="008759A1">
        <w:rPr>
          <w:rFonts w:ascii="Times New Roman" w:hAnsi="Times New Roman" w:cs="Times New Roman"/>
          <w:sz w:val="24"/>
          <w:szCs w:val="24"/>
        </w:rPr>
        <w:t xml:space="preserve"> aparece la formulación de una política económica que vincule la macro y la microeconomía de forma integr</w:t>
      </w:r>
      <w:r w:rsidR="006D22CA" w:rsidRPr="008759A1">
        <w:rPr>
          <w:rFonts w:ascii="Times New Roman" w:hAnsi="Times New Roman" w:cs="Times New Roman"/>
          <w:sz w:val="24"/>
          <w:szCs w:val="24"/>
        </w:rPr>
        <w:t>ada y coherente, al igual que una</w:t>
      </w:r>
      <w:r w:rsidR="009A4A23" w:rsidRPr="008759A1">
        <w:rPr>
          <w:rFonts w:ascii="Times New Roman" w:hAnsi="Times New Roman" w:cs="Times New Roman"/>
          <w:sz w:val="24"/>
          <w:szCs w:val="24"/>
        </w:rPr>
        <w:t xml:space="preserve"> alianza entre el sector público </w:t>
      </w:r>
      <w:r w:rsidR="006D22CA" w:rsidRPr="008759A1">
        <w:rPr>
          <w:rFonts w:ascii="Times New Roman" w:hAnsi="Times New Roman" w:cs="Times New Roman"/>
          <w:sz w:val="24"/>
          <w:szCs w:val="24"/>
        </w:rPr>
        <w:t>y</w:t>
      </w:r>
      <w:r w:rsidR="009A4A23" w:rsidRPr="008759A1">
        <w:rPr>
          <w:rFonts w:ascii="Times New Roman" w:hAnsi="Times New Roman" w:cs="Times New Roman"/>
          <w:sz w:val="24"/>
          <w:szCs w:val="24"/>
        </w:rPr>
        <w:t xml:space="preserve"> el privado, y la profundización y expansión de la democracia para que así los intereses de la mayoría sean efectivamente representados en la arena política (Aninat, Benavente, Briones, </w:t>
      </w:r>
      <w:proofErr w:type="spellStart"/>
      <w:r w:rsidR="009A4A23" w:rsidRPr="008759A1">
        <w:rPr>
          <w:rFonts w:ascii="Times New Roman" w:hAnsi="Times New Roman" w:cs="Times New Roman"/>
          <w:sz w:val="24"/>
          <w:szCs w:val="24"/>
        </w:rPr>
        <w:t>Eyzaguirre</w:t>
      </w:r>
      <w:proofErr w:type="spellEnd"/>
      <w:r w:rsidR="009A4A23" w:rsidRPr="008759A1">
        <w:rPr>
          <w:rFonts w:ascii="Times New Roman" w:hAnsi="Times New Roman" w:cs="Times New Roman"/>
          <w:sz w:val="24"/>
          <w:szCs w:val="24"/>
        </w:rPr>
        <w:t xml:space="preserve">, Navia y </w:t>
      </w:r>
      <w:proofErr w:type="spellStart"/>
      <w:r w:rsidR="009A4A23" w:rsidRPr="008759A1">
        <w:rPr>
          <w:rFonts w:ascii="Times New Roman" w:hAnsi="Times New Roman" w:cs="Times New Roman"/>
          <w:sz w:val="24"/>
          <w:szCs w:val="24"/>
        </w:rPr>
        <w:t>Olivari</w:t>
      </w:r>
      <w:proofErr w:type="spellEnd"/>
      <w:r w:rsidR="009A4A23" w:rsidRPr="008759A1">
        <w:rPr>
          <w:rFonts w:ascii="Times New Roman" w:hAnsi="Times New Roman" w:cs="Times New Roman"/>
          <w:sz w:val="24"/>
          <w:szCs w:val="24"/>
        </w:rPr>
        <w:t xml:space="preserve">, 2010). En resumidas </w:t>
      </w:r>
      <w:r w:rsidR="0006047C" w:rsidRPr="008759A1">
        <w:rPr>
          <w:rFonts w:ascii="Times New Roman" w:hAnsi="Times New Roman" w:cs="Times New Roman"/>
          <w:sz w:val="24"/>
          <w:szCs w:val="24"/>
        </w:rPr>
        <w:t>cuentas,</w:t>
      </w:r>
      <w:r w:rsidR="009A4A23" w:rsidRPr="008759A1">
        <w:rPr>
          <w:rFonts w:ascii="Times New Roman" w:hAnsi="Times New Roman" w:cs="Times New Roman"/>
          <w:sz w:val="24"/>
          <w:szCs w:val="24"/>
        </w:rPr>
        <w:t xml:space="preserve"> esta ruta permitiría alcanzar a las economías desarrolladas en términos de eficiencia productiva </w:t>
      </w:r>
      <w:r w:rsidR="0006047C" w:rsidRPr="008759A1">
        <w:rPr>
          <w:rFonts w:ascii="Times New Roman" w:hAnsi="Times New Roman" w:cs="Times New Roman"/>
          <w:sz w:val="24"/>
          <w:szCs w:val="24"/>
        </w:rPr>
        <w:t>en igualdad de condiciones</w:t>
      </w:r>
      <w:r w:rsidR="009A4A23" w:rsidRPr="008759A1">
        <w:rPr>
          <w:rFonts w:ascii="Times New Roman" w:hAnsi="Times New Roman" w:cs="Times New Roman"/>
          <w:sz w:val="24"/>
          <w:szCs w:val="24"/>
        </w:rPr>
        <w:t xml:space="preserve"> de mayor equidad en el acceso a los beneficios del desarrollo.</w:t>
      </w:r>
    </w:p>
    <w:p w14:paraId="413173C0" w14:textId="4D7651D7" w:rsidR="00DA69D2" w:rsidRPr="008759A1" w:rsidRDefault="00DA69D2" w:rsidP="008759A1">
      <w:pPr>
        <w:jc w:val="both"/>
        <w:rPr>
          <w:rFonts w:ascii="Times New Roman" w:hAnsi="Times New Roman" w:cs="Times New Roman"/>
          <w:sz w:val="24"/>
          <w:szCs w:val="24"/>
        </w:rPr>
      </w:pPr>
      <w:r w:rsidRPr="008759A1">
        <w:rPr>
          <w:rFonts w:ascii="Times New Roman" w:hAnsi="Times New Roman" w:cs="Times New Roman"/>
          <w:sz w:val="24"/>
          <w:szCs w:val="24"/>
        </w:rPr>
        <w:t xml:space="preserve">Típicamente las economías se especializan en aquellos bienes que pueden producir en condiciones competitivas dependiendo de los precios relativos. Para las economías que se encuentran en una senda virtuosa de crecimiento ocurre efectivamente un cierre de brechas tecnológicas o una reducción de las asimetrías de productividad (Ocampo, 2011). Por una </w:t>
      </w:r>
      <w:r w:rsidR="00040C34" w:rsidRPr="008759A1">
        <w:rPr>
          <w:rFonts w:ascii="Times New Roman" w:hAnsi="Times New Roman" w:cs="Times New Roman"/>
          <w:sz w:val="24"/>
          <w:szCs w:val="24"/>
        </w:rPr>
        <w:t>parte,</w:t>
      </w:r>
      <w:r w:rsidRPr="008759A1">
        <w:rPr>
          <w:rFonts w:ascii="Times New Roman" w:hAnsi="Times New Roman" w:cs="Times New Roman"/>
          <w:sz w:val="24"/>
          <w:szCs w:val="24"/>
        </w:rPr>
        <w:t xml:space="preserve"> se cierra la brecha externa, es decir</w:t>
      </w:r>
      <w:r w:rsidR="00DB29AB">
        <w:rPr>
          <w:rFonts w:ascii="Times New Roman" w:hAnsi="Times New Roman" w:cs="Times New Roman"/>
          <w:sz w:val="24"/>
          <w:szCs w:val="24"/>
        </w:rPr>
        <w:t>,</w:t>
      </w:r>
      <w:r w:rsidRPr="008759A1">
        <w:rPr>
          <w:rFonts w:ascii="Times New Roman" w:hAnsi="Times New Roman" w:cs="Times New Roman"/>
          <w:sz w:val="24"/>
          <w:szCs w:val="24"/>
        </w:rPr>
        <w:t xml:space="preserve"> respecto a la frontera tecnológica internacional. Mientras que también se cierra la interna, en otras palabras, la brecha </w:t>
      </w:r>
      <w:proofErr w:type="spellStart"/>
      <w:r w:rsidRPr="008759A1">
        <w:rPr>
          <w:rFonts w:ascii="Times New Roman" w:hAnsi="Times New Roman" w:cs="Times New Roman"/>
          <w:sz w:val="24"/>
          <w:szCs w:val="24"/>
        </w:rPr>
        <w:t>intra</w:t>
      </w:r>
      <w:proofErr w:type="spellEnd"/>
      <w:r w:rsidRPr="008759A1">
        <w:rPr>
          <w:rFonts w:ascii="Times New Roman" w:hAnsi="Times New Roman" w:cs="Times New Roman"/>
          <w:sz w:val="24"/>
          <w:szCs w:val="24"/>
        </w:rPr>
        <w:t xml:space="preserve"> e inter sectores económicos, lo cual promueve la absorción de trabajadores en actividades de productividad más alta (CEPAL, 2012).</w:t>
      </w:r>
    </w:p>
    <w:p w14:paraId="6F233433" w14:textId="31ECDBF9" w:rsidR="00111B9F" w:rsidRPr="008759A1" w:rsidRDefault="00C4577F" w:rsidP="008759A1">
      <w:pPr>
        <w:jc w:val="both"/>
        <w:rPr>
          <w:rFonts w:ascii="Times New Roman" w:hAnsi="Times New Roman" w:cs="Times New Roman"/>
          <w:sz w:val="24"/>
          <w:szCs w:val="24"/>
        </w:rPr>
      </w:pPr>
      <w:r w:rsidRPr="008759A1">
        <w:rPr>
          <w:rFonts w:ascii="Times New Roman" w:hAnsi="Times New Roman" w:cs="Times New Roman"/>
          <w:sz w:val="24"/>
          <w:szCs w:val="24"/>
        </w:rPr>
        <w:t xml:space="preserve">Habitualmente para los países latinoamericanos la dinámica de crecimiento económico está liderada por </w:t>
      </w:r>
      <w:r w:rsidR="001F604C" w:rsidRPr="008759A1">
        <w:rPr>
          <w:rFonts w:ascii="Times New Roman" w:hAnsi="Times New Roman" w:cs="Times New Roman"/>
          <w:sz w:val="24"/>
          <w:szCs w:val="24"/>
        </w:rPr>
        <w:t>sectores</w:t>
      </w:r>
      <w:r w:rsidRPr="008759A1">
        <w:rPr>
          <w:rFonts w:ascii="Times New Roman" w:hAnsi="Times New Roman" w:cs="Times New Roman"/>
          <w:sz w:val="24"/>
          <w:szCs w:val="24"/>
        </w:rPr>
        <w:t xml:space="preserve"> productivo</w:t>
      </w:r>
      <w:r w:rsidR="001F604C" w:rsidRPr="008759A1">
        <w:rPr>
          <w:rFonts w:ascii="Times New Roman" w:hAnsi="Times New Roman" w:cs="Times New Roman"/>
          <w:sz w:val="24"/>
          <w:szCs w:val="24"/>
        </w:rPr>
        <w:t>s</w:t>
      </w:r>
      <w:r w:rsidRPr="008759A1">
        <w:rPr>
          <w:rFonts w:ascii="Times New Roman" w:hAnsi="Times New Roman" w:cs="Times New Roman"/>
          <w:sz w:val="24"/>
          <w:szCs w:val="24"/>
        </w:rPr>
        <w:t>, normalmente relacionado</w:t>
      </w:r>
      <w:r w:rsidR="001F604C" w:rsidRPr="008759A1">
        <w:rPr>
          <w:rFonts w:ascii="Times New Roman" w:hAnsi="Times New Roman" w:cs="Times New Roman"/>
          <w:sz w:val="24"/>
          <w:szCs w:val="24"/>
        </w:rPr>
        <w:t>s</w:t>
      </w:r>
      <w:r w:rsidRPr="008759A1">
        <w:rPr>
          <w:rFonts w:ascii="Times New Roman" w:hAnsi="Times New Roman" w:cs="Times New Roman"/>
          <w:sz w:val="24"/>
          <w:szCs w:val="24"/>
        </w:rPr>
        <w:t xml:space="preserve"> a los recursos naturales, </w:t>
      </w:r>
      <w:r w:rsidR="001F604C" w:rsidRPr="008759A1">
        <w:rPr>
          <w:rFonts w:ascii="Times New Roman" w:hAnsi="Times New Roman" w:cs="Times New Roman"/>
          <w:sz w:val="24"/>
          <w:szCs w:val="24"/>
        </w:rPr>
        <w:t>los</w:t>
      </w:r>
      <w:r w:rsidRPr="008759A1">
        <w:rPr>
          <w:rFonts w:ascii="Times New Roman" w:hAnsi="Times New Roman" w:cs="Times New Roman"/>
          <w:sz w:val="24"/>
          <w:szCs w:val="24"/>
        </w:rPr>
        <w:t xml:space="preserve"> cual</w:t>
      </w:r>
      <w:r w:rsidR="001F604C" w:rsidRPr="008759A1">
        <w:rPr>
          <w:rFonts w:ascii="Times New Roman" w:hAnsi="Times New Roman" w:cs="Times New Roman"/>
          <w:sz w:val="24"/>
          <w:szCs w:val="24"/>
        </w:rPr>
        <w:t>es</w:t>
      </w:r>
      <w:r w:rsidRPr="008759A1">
        <w:rPr>
          <w:rFonts w:ascii="Times New Roman" w:hAnsi="Times New Roman" w:cs="Times New Roman"/>
          <w:sz w:val="24"/>
          <w:szCs w:val="24"/>
        </w:rPr>
        <w:t xml:space="preserve"> corresponde</w:t>
      </w:r>
      <w:r w:rsidR="001F604C" w:rsidRPr="008759A1">
        <w:rPr>
          <w:rFonts w:ascii="Times New Roman" w:hAnsi="Times New Roman" w:cs="Times New Roman"/>
          <w:sz w:val="24"/>
          <w:szCs w:val="24"/>
        </w:rPr>
        <w:t>n</w:t>
      </w:r>
      <w:r w:rsidRPr="008759A1">
        <w:rPr>
          <w:rFonts w:ascii="Times New Roman" w:hAnsi="Times New Roman" w:cs="Times New Roman"/>
          <w:sz w:val="24"/>
          <w:szCs w:val="24"/>
        </w:rPr>
        <w:t xml:space="preserve"> a grandes empresas que acumulan la mayor parte de la productividad y </w:t>
      </w:r>
      <w:r w:rsidRPr="008759A1">
        <w:rPr>
          <w:rFonts w:ascii="Times New Roman" w:hAnsi="Times New Roman" w:cs="Times New Roman"/>
          <w:sz w:val="24"/>
          <w:szCs w:val="24"/>
        </w:rPr>
        <w:lastRenderedPageBreak/>
        <w:t>el capital, pero absorbiendo un porcentaje menor del empleo</w:t>
      </w:r>
      <w:r w:rsidRPr="008759A1">
        <w:rPr>
          <w:rFonts w:ascii="Times New Roman" w:hAnsi="Times New Roman" w:cs="Times New Roman"/>
          <w:sz w:val="24"/>
          <w:szCs w:val="24"/>
          <w:vertAlign w:val="superscript"/>
        </w:rPr>
        <w:footnoteReference w:id="3"/>
      </w:r>
      <w:r w:rsidRPr="008759A1">
        <w:rPr>
          <w:rFonts w:ascii="Times New Roman" w:hAnsi="Times New Roman" w:cs="Times New Roman"/>
          <w:sz w:val="24"/>
          <w:szCs w:val="24"/>
        </w:rPr>
        <w:t>. Mientras</w:t>
      </w:r>
      <w:r w:rsidR="00DB29AB">
        <w:rPr>
          <w:rFonts w:ascii="Times New Roman" w:hAnsi="Times New Roman" w:cs="Times New Roman"/>
          <w:sz w:val="24"/>
          <w:szCs w:val="24"/>
        </w:rPr>
        <w:t>,</w:t>
      </w:r>
      <w:r w:rsidRPr="008759A1">
        <w:rPr>
          <w:rFonts w:ascii="Times New Roman" w:hAnsi="Times New Roman" w:cs="Times New Roman"/>
          <w:sz w:val="24"/>
          <w:szCs w:val="24"/>
        </w:rPr>
        <w:t xml:space="preserve"> el mayor porcentaje del empleo es absorbido por </w:t>
      </w:r>
      <w:r w:rsidR="00D31061" w:rsidRPr="008759A1">
        <w:rPr>
          <w:rFonts w:ascii="Times New Roman" w:hAnsi="Times New Roman" w:cs="Times New Roman"/>
          <w:sz w:val="24"/>
          <w:szCs w:val="24"/>
        </w:rPr>
        <w:t>micro, pequeñas y medianas empresas (</w:t>
      </w:r>
      <w:proofErr w:type="spellStart"/>
      <w:r w:rsidR="00427979" w:rsidRPr="008759A1">
        <w:rPr>
          <w:rFonts w:ascii="Times New Roman" w:hAnsi="Times New Roman" w:cs="Times New Roman"/>
          <w:sz w:val="24"/>
          <w:szCs w:val="24"/>
        </w:rPr>
        <w:t>MI</w:t>
      </w:r>
      <w:r w:rsidRPr="008759A1">
        <w:rPr>
          <w:rFonts w:ascii="Times New Roman" w:hAnsi="Times New Roman" w:cs="Times New Roman"/>
          <w:sz w:val="24"/>
          <w:szCs w:val="24"/>
        </w:rPr>
        <w:t>PYMEs</w:t>
      </w:r>
      <w:proofErr w:type="spellEnd"/>
      <w:r w:rsidR="00D31061" w:rsidRPr="008759A1">
        <w:rPr>
          <w:rFonts w:ascii="Times New Roman" w:hAnsi="Times New Roman" w:cs="Times New Roman"/>
          <w:sz w:val="24"/>
          <w:szCs w:val="24"/>
        </w:rPr>
        <w:t>)</w:t>
      </w:r>
      <w:r w:rsidRPr="008759A1">
        <w:rPr>
          <w:rFonts w:ascii="Times New Roman" w:hAnsi="Times New Roman" w:cs="Times New Roman"/>
          <w:sz w:val="24"/>
          <w:szCs w:val="24"/>
        </w:rPr>
        <w:t xml:space="preserve"> o el sector informal, cuyas productividades son relativamente más bajas (</w:t>
      </w:r>
      <w:proofErr w:type="spellStart"/>
      <w:r w:rsidRPr="008759A1">
        <w:rPr>
          <w:rFonts w:ascii="Times New Roman" w:hAnsi="Times New Roman" w:cs="Times New Roman"/>
          <w:sz w:val="24"/>
          <w:szCs w:val="24"/>
        </w:rPr>
        <w:t>Ffrench</w:t>
      </w:r>
      <w:proofErr w:type="spellEnd"/>
      <w:r w:rsidRPr="008759A1">
        <w:rPr>
          <w:rFonts w:ascii="Times New Roman" w:hAnsi="Times New Roman" w:cs="Times New Roman"/>
          <w:sz w:val="24"/>
          <w:szCs w:val="24"/>
        </w:rPr>
        <w:t xml:space="preserve">-Davis, </w:t>
      </w:r>
      <w:r w:rsidR="00111B9F" w:rsidRPr="008759A1">
        <w:rPr>
          <w:rFonts w:ascii="Times New Roman" w:hAnsi="Times New Roman" w:cs="Times New Roman"/>
          <w:sz w:val="24"/>
          <w:szCs w:val="24"/>
        </w:rPr>
        <w:t xml:space="preserve">2014). En el </w:t>
      </w:r>
      <w:r w:rsidR="00D31061" w:rsidRPr="008759A1">
        <w:rPr>
          <w:rFonts w:ascii="Times New Roman" w:hAnsi="Times New Roman" w:cs="Times New Roman"/>
          <w:sz w:val="24"/>
          <w:szCs w:val="24"/>
        </w:rPr>
        <w:t>G</w:t>
      </w:r>
      <w:r w:rsidRPr="008759A1">
        <w:rPr>
          <w:rFonts w:ascii="Times New Roman" w:hAnsi="Times New Roman" w:cs="Times New Roman"/>
          <w:sz w:val="24"/>
          <w:szCs w:val="24"/>
        </w:rPr>
        <w:t xml:space="preserve">ráfico </w:t>
      </w:r>
      <w:r w:rsidR="00427979" w:rsidRPr="008759A1">
        <w:rPr>
          <w:rFonts w:ascii="Times New Roman" w:hAnsi="Times New Roman" w:cs="Times New Roman"/>
          <w:sz w:val="24"/>
          <w:szCs w:val="24"/>
        </w:rPr>
        <w:t>1.</w:t>
      </w:r>
      <w:r w:rsidR="008759A1" w:rsidRPr="008759A1">
        <w:rPr>
          <w:rFonts w:ascii="Times New Roman" w:hAnsi="Times New Roman" w:cs="Times New Roman"/>
          <w:sz w:val="24"/>
          <w:szCs w:val="24"/>
        </w:rPr>
        <w:t>1</w:t>
      </w:r>
      <w:r w:rsidRPr="008759A1">
        <w:rPr>
          <w:rFonts w:ascii="Times New Roman" w:hAnsi="Times New Roman" w:cs="Times New Roman"/>
          <w:sz w:val="24"/>
          <w:szCs w:val="24"/>
        </w:rPr>
        <w:t xml:space="preserve"> se observa la evolución de la brecha en productividad para algunos países seleccio</w:t>
      </w:r>
      <w:r w:rsidR="00111B9F" w:rsidRPr="008759A1">
        <w:rPr>
          <w:rFonts w:ascii="Times New Roman" w:hAnsi="Times New Roman" w:cs="Times New Roman"/>
          <w:sz w:val="24"/>
          <w:szCs w:val="24"/>
        </w:rPr>
        <w:t>nados.</w:t>
      </w:r>
    </w:p>
    <w:p w14:paraId="081253C8" w14:textId="3AFBE99D" w:rsidR="00C4577F" w:rsidRPr="006A0175" w:rsidRDefault="00C4577F" w:rsidP="00C4577F">
      <w:pPr>
        <w:pStyle w:val="Sinespaciado"/>
        <w:jc w:val="center"/>
        <w:rPr>
          <w:rFonts w:ascii="Times New Roman" w:hAnsi="Times New Roman"/>
          <w:sz w:val="24"/>
          <w:szCs w:val="24"/>
          <w:u w:val="single"/>
        </w:rPr>
      </w:pPr>
      <w:r w:rsidRPr="006A0175">
        <w:rPr>
          <w:rFonts w:ascii="Times New Roman" w:hAnsi="Times New Roman"/>
          <w:sz w:val="24"/>
          <w:szCs w:val="24"/>
          <w:u w:val="single"/>
        </w:rPr>
        <w:t xml:space="preserve">Gráfico </w:t>
      </w:r>
      <w:r w:rsidR="00427979" w:rsidRPr="006A0175">
        <w:rPr>
          <w:rFonts w:ascii="Times New Roman" w:hAnsi="Times New Roman"/>
          <w:sz w:val="24"/>
          <w:szCs w:val="24"/>
          <w:u w:val="single"/>
        </w:rPr>
        <w:t>1.</w:t>
      </w:r>
      <w:r w:rsidR="008759A1">
        <w:rPr>
          <w:rFonts w:ascii="Times New Roman" w:hAnsi="Times New Roman"/>
          <w:sz w:val="24"/>
          <w:szCs w:val="24"/>
          <w:u w:val="single"/>
        </w:rPr>
        <w:t>1</w:t>
      </w:r>
      <w:r w:rsidRPr="006A0175">
        <w:rPr>
          <w:rFonts w:ascii="Times New Roman" w:hAnsi="Times New Roman"/>
          <w:sz w:val="24"/>
          <w:szCs w:val="24"/>
          <w:u w:val="single"/>
        </w:rPr>
        <w:t xml:space="preserve">: </w:t>
      </w:r>
      <w:proofErr w:type="spellStart"/>
      <w:r w:rsidRPr="006A0175">
        <w:rPr>
          <w:rFonts w:ascii="Times New Roman" w:hAnsi="Times New Roman"/>
          <w:sz w:val="24"/>
          <w:szCs w:val="24"/>
          <w:u w:val="single"/>
        </w:rPr>
        <w:t>Catching</w:t>
      </w:r>
      <w:proofErr w:type="spellEnd"/>
      <w:r w:rsidRPr="006A0175">
        <w:rPr>
          <w:rFonts w:ascii="Times New Roman" w:hAnsi="Times New Roman"/>
          <w:sz w:val="24"/>
          <w:szCs w:val="24"/>
          <w:u w:val="single"/>
        </w:rPr>
        <w:t>-up productivo en países emergentes, 1960-2011</w:t>
      </w:r>
    </w:p>
    <w:p w14:paraId="4224C1C0" w14:textId="77777777" w:rsidR="00C4577F" w:rsidRPr="006A0175" w:rsidRDefault="00C4577F" w:rsidP="00C4577F">
      <w:pPr>
        <w:pStyle w:val="Sinespaciado"/>
        <w:jc w:val="center"/>
        <w:rPr>
          <w:rFonts w:ascii="Times New Roman" w:hAnsi="Times New Roman"/>
          <w:sz w:val="24"/>
          <w:szCs w:val="24"/>
        </w:rPr>
      </w:pPr>
    </w:p>
    <w:p w14:paraId="1729AF08" w14:textId="418DEBE1" w:rsidR="00C4577F" w:rsidRPr="006A0175" w:rsidRDefault="001469D2" w:rsidP="00C4577F">
      <w:pPr>
        <w:pStyle w:val="Sinespaciado"/>
        <w:jc w:val="center"/>
        <w:rPr>
          <w:rFonts w:ascii="Times New Roman" w:hAnsi="Times New Roman"/>
          <w:sz w:val="24"/>
          <w:szCs w:val="24"/>
        </w:rPr>
      </w:pPr>
      <w:r w:rsidRPr="006A0175">
        <w:rPr>
          <w:rFonts w:ascii="Times New Roman" w:hAnsi="Times New Roman"/>
          <w:noProof/>
          <w:sz w:val="24"/>
          <w:szCs w:val="24"/>
        </w:rPr>
        <w:drawing>
          <wp:inline distT="0" distB="0" distL="0" distR="0" wp14:anchorId="7C9EFE23" wp14:editId="38D556FF">
            <wp:extent cx="5565775" cy="335545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2C75F0" w14:textId="0EF4FC3A" w:rsidR="00C4577F" w:rsidRPr="00111B9F" w:rsidRDefault="00C4577F" w:rsidP="00C4577F">
      <w:pPr>
        <w:pStyle w:val="Sinespaciado"/>
        <w:jc w:val="both"/>
        <w:rPr>
          <w:rFonts w:ascii="Times New Roman" w:hAnsi="Times New Roman"/>
          <w:sz w:val="20"/>
          <w:szCs w:val="20"/>
          <w:lang w:val="en-US"/>
        </w:rPr>
      </w:pPr>
      <w:r w:rsidRPr="00111B9F">
        <w:rPr>
          <w:rFonts w:ascii="Times New Roman" w:hAnsi="Times New Roman"/>
          <w:sz w:val="20"/>
          <w:szCs w:val="20"/>
          <w:lang w:val="en-US"/>
        </w:rPr>
        <w:t xml:space="preserve">Fuente: </w:t>
      </w:r>
      <w:proofErr w:type="spellStart"/>
      <w:r w:rsidR="00D31061" w:rsidRPr="00111B9F">
        <w:rPr>
          <w:rFonts w:ascii="Times New Roman" w:hAnsi="Times New Roman"/>
          <w:sz w:val="20"/>
          <w:szCs w:val="20"/>
          <w:lang w:val="en-US"/>
        </w:rPr>
        <w:t>E</w:t>
      </w:r>
      <w:r w:rsidRPr="00111B9F">
        <w:rPr>
          <w:rFonts w:ascii="Times New Roman" w:hAnsi="Times New Roman"/>
          <w:sz w:val="20"/>
          <w:szCs w:val="20"/>
          <w:lang w:val="en-US"/>
        </w:rPr>
        <w:t>laboración</w:t>
      </w:r>
      <w:proofErr w:type="spellEnd"/>
      <w:r w:rsidRPr="00111B9F">
        <w:rPr>
          <w:rFonts w:ascii="Times New Roman" w:hAnsi="Times New Roman"/>
          <w:sz w:val="20"/>
          <w:szCs w:val="20"/>
          <w:lang w:val="en-US"/>
        </w:rPr>
        <w:t xml:space="preserve"> </w:t>
      </w:r>
      <w:proofErr w:type="spellStart"/>
      <w:r w:rsidRPr="00111B9F">
        <w:rPr>
          <w:rFonts w:ascii="Times New Roman" w:hAnsi="Times New Roman"/>
          <w:sz w:val="20"/>
          <w:szCs w:val="20"/>
          <w:lang w:val="en-US"/>
        </w:rPr>
        <w:t>propia</w:t>
      </w:r>
      <w:proofErr w:type="spellEnd"/>
      <w:r w:rsidRPr="00111B9F">
        <w:rPr>
          <w:rFonts w:ascii="Times New Roman" w:hAnsi="Times New Roman"/>
          <w:sz w:val="20"/>
          <w:szCs w:val="20"/>
          <w:lang w:val="en-US"/>
        </w:rPr>
        <w:t xml:space="preserve"> </w:t>
      </w:r>
      <w:proofErr w:type="spellStart"/>
      <w:r w:rsidRPr="00111B9F">
        <w:rPr>
          <w:rFonts w:ascii="Times New Roman" w:hAnsi="Times New Roman"/>
          <w:sz w:val="20"/>
          <w:szCs w:val="20"/>
          <w:lang w:val="en-US"/>
        </w:rPr>
        <w:t>en</w:t>
      </w:r>
      <w:proofErr w:type="spellEnd"/>
      <w:r w:rsidRPr="00111B9F">
        <w:rPr>
          <w:rFonts w:ascii="Times New Roman" w:hAnsi="Times New Roman"/>
          <w:sz w:val="20"/>
          <w:szCs w:val="20"/>
          <w:lang w:val="en-US"/>
        </w:rPr>
        <w:t xml:space="preserve"> base a Banco Mundial, World Development Indicators database (WDI), 2015 y </w:t>
      </w:r>
      <w:proofErr w:type="spellStart"/>
      <w:r w:rsidRPr="00111B9F">
        <w:rPr>
          <w:rFonts w:ascii="Times New Roman" w:hAnsi="Times New Roman"/>
          <w:sz w:val="20"/>
          <w:szCs w:val="20"/>
          <w:lang w:val="en-US"/>
        </w:rPr>
        <w:t>Feenstra</w:t>
      </w:r>
      <w:proofErr w:type="spellEnd"/>
      <w:r w:rsidRPr="00111B9F">
        <w:rPr>
          <w:rFonts w:ascii="Times New Roman" w:hAnsi="Times New Roman"/>
          <w:sz w:val="20"/>
          <w:szCs w:val="20"/>
          <w:lang w:val="en-US"/>
        </w:rPr>
        <w:t xml:space="preserve">, Robert C., Robert </w:t>
      </w:r>
      <w:proofErr w:type="spellStart"/>
      <w:r w:rsidRPr="00111B9F">
        <w:rPr>
          <w:rFonts w:ascii="Times New Roman" w:hAnsi="Times New Roman"/>
          <w:sz w:val="20"/>
          <w:szCs w:val="20"/>
          <w:lang w:val="en-US"/>
        </w:rPr>
        <w:t>Inklaar</w:t>
      </w:r>
      <w:proofErr w:type="spellEnd"/>
      <w:r w:rsidRPr="00111B9F">
        <w:rPr>
          <w:rFonts w:ascii="Times New Roman" w:hAnsi="Times New Roman"/>
          <w:sz w:val="20"/>
          <w:szCs w:val="20"/>
          <w:lang w:val="en-US"/>
        </w:rPr>
        <w:t xml:space="preserve"> and Marcel P. </w:t>
      </w:r>
      <w:proofErr w:type="spellStart"/>
      <w:r w:rsidRPr="00111B9F">
        <w:rPr>
          <w:rFonts w:ascii="Times New Roman" w:hAnsi="Times New Roman"/>
          <w:sz w:val="20"/>
          <w:szCs w:val="20"/>
          <w:lang w:val="en-US"/>
        </w:rPr>
        <w:t>Timmer</w:t>
      </w:r>
      <w:proofErr w:type="spellEnd"/>
      <w:r w:rsidRPr="00111B9F">
        <w:rPr>
          <w:rFonts w:ascii="Times New Roman" w:hAnsi="Times New Roman"/>
          <w:sz w:val="20"/>
          <w:szCs w:val="20"/>
          <w:lang w:val="en-US"/>
        </w:rPr>
        <w:t xml:space="preserve"> (2015), "The Next Generation of the Penn World Table" forthcoming American Economic Review, available for download at www.ggdc.net/pwt.</w:t>
      </w:r>
    </w:p>
    <w:p w14:paraId="49B7340B" w14:textId="77777777" w:rsidR="00C4577F" w:rsidRPr="006A0175" w:rsidRDefault="00C4577F" w:rsidP="00771DB7">
      <w:pPr>
        <w:pStyle w:val="Sinespaciado"/>
        <w:jc w:val="both"/>
        <w:rPr>
          <w:rFonts w:ascii="Times New Roman" w:hAnsi="Times New Roman"/>
          <w:sz w:val="24"/>
          <w:szCs w:val="24"/>
          <w:lang w:val="en-US"/>
        </w:rPr>
      </w:pPr>
    </w:p>
    <w:p w14:paraId="60C7A3CD" w14:textId="0057C3EA" w:rsidR="00427979" w:rsidRPr="008759A1" w:rsidRDefault="00427979" w:rsidP="008759A1">
      <w:pPr>
        <w:jc w:val="both"/>
        <w:rPr>
          <w:rFonts w:ascii="Times New Roman" w:hAnsi="Times New Roman" w:cs="Times New Roman"/>
          <w:sz w:val="24"/>
          <w:szCs w:val="24"/>
        </w:rPr>
      </w:pPr>
      <w:r w:rsidRPr="008759A1">
        <w:rPr>
          <w:rFonts w:ascii="Times New Roman" w:hAnsi="Times New Roman" w:cs="Times New Roman"/>
          <w:sz w:val="24"/>
          <w:szCs w:val="24"/>
        </w:rPr>
        <w:t xml:space="preserve">En el caso de Chile, a partir de la recuperación de la democracia, </w:t>
      </w:r>
      <w:r w:rsidR="00D31061" w:rsidRPr="008759A1">
        <w:rPr>
          <w:rFonts w:ascii="Times New Roman" w:hAnsi="Times New Roman" w:cs="Times New Roman"/>
          <w:sz w:val="24"/>
          <w:szCs w:val="24"/>
        </w:rPr>
        <w:t xml:space="preserve">el país </w:t>
      </w:r>
      <w:r w:rsidR="00D61FA6" w:rsidRPr="008759A1">
        <w:rPr>
          <w:rFonts w:ascii="Times New Roman" w:hAnsi="Times New Roman" w:cs="Times New Roman"/>
          <w:sz w:val="24"/>
          <w:szCs w:val="24"/>
        </w:rPr>
        <w:t>h</w:t>
      </w:r>
      <w:r w:rsidR="00D31061" w:rsidRPr="008759A1">
        <w:rPr>
          <w:rFonts w:ascii="Times New Roman" w:hAnsi="Times New Roman" w:cs="Times New Roman"/>
          <w:sz w:val="24"/>
          <w:szCs w:val="24"/>
        </w:rPr>
        <w:t xml:space="preserve">a </w:t>
      </w:r>
      <w:r w:rsidRPr="008759A1">
        <w:rPr>
          <w:rFonts w:ascii="Times New Roman" w:hAnsi="Times New Roman" w:cs="Times New Roman"/>
          <w:sz w:val="24"/>
          <w:szCs w:val="24"/>
        </w:rPr>
        <w:t xml:space="preserve">entrado en un ciclo de </w:t>
      </w:r>
      <w:r w:rsidR="00D61FA6" w:rsidRPr="008759A1">
        <w:rPr>
          <w:rFonts w:ascii="Times New Roman" w:hAnsi="Times New Roman" w:cs="Times New Roman"/>
          <w:sz w:val="24"/>
          <w:szCs w:val="24"/>
        </w:rPr>
        <w:t xml:space="preserve">mayor </w:t>
      </w:r>
      <w:r w:rsidRPr="008759A1">
        <w:rPr>
          <w:rFonts w:ascii="Times New Roman" w:hAnsi="Times New Roman" w:cs="Times New Roman"/>
          <w:sz w:val="24"/>
          <w:szCs w:val="24"/>
        </w:rPr>
        <w:t>estabilidad política y económica, donde a pesar de persistir fuertes n</w:t>
      </w:r>
      <w:r w:rsidR="001C090B" w:rsidRPr="008759A1">
        <w:rPr>
          <w:rFonts w:ascii="Times New Roman" w:hAnsi="Times New Roman" w:cs="Times New Roman"/>
          <w:sz w:val="24"/>
          <w:szCs w:val="24"/>
        </w:rPr>
        <w:t>iveles de desigualdad, ha existido</w:t>
      </w:r>
      <w:r w:rsidRPr="008759A1">
        <w:rPr>
          <w:rFonts w:ascii="Times New Roman" w:hAnsi="Times New Roman" w:cs="Times New Roman"/>
          <w:sz w:val="24"/>
          <w:szCs w:val="24"/>
        </w:rPr>
        <w:t xml:space="preserve"> un clima macroeconómico relativamente estable, junto con políticas sociales focalizadas –aparejadas a una caída fuerte en la pobreza e indigencia-,</w:t>
      </w:r>
      <w:r w:rsidR="007A2CA7" w:rsidRPr="008759A1">
        <w:rPr>
          <w:rFonts w:ascii="Times New Roman" w:hAnsi="Times New Roman" w:cs="Times New Roman"/>
          <w:sz w:val="24"/>
          <w:szCs w:val="24"/>
        </w:rPr>
        <w:t xml:space="preserve"> </w:t>
      </w:r>
      <w:r w:rsidRPr="008759A1">
        <w:rPr>
          <w:rFonts w:ascii="Times New Roman" w:hAnsi="Times New Roman" w:cs="Times New Roman"/>
          <w:sz w:val="24"/>
          <w:szCs w:val="24"/>
        </w:rPr>
        <w:t>inserción en la economía global, inversión en infraestructura y servicios públicos, ampliación de la cobertura educacional, de vivienda, salud y seguridad social, etc</w:t>
      </w:r>
      <w:r w:rsidR="00450B14">
        <w:rPr>
          <w:rFonts w:ascii="Times New Roman" w:hAnsi="Times New Roman" w:cs="Times New Roman"/>
          <w:sz w:val="24"/>
          <w:szCs w:val="24"/>
        </w:rPr>
        <w:t>étera.</w:t>
      </w:r>
    </w:p>
    <w:p w14:paraId="3FBFD5E2" w14:textId="6A635212" w:rsidR="009053F0" w:rsidRPr="008759A1" w:rsidRDefault="00427979" w:rsidP="008759A1">
      <w:pPr>
        <w:jc w:val="both"/>
        <w:rPr>
          <w:rFonts w:ascii="Times New Roman" w:hAnsi="Times New Roman" w:cs="Times New Roman"/>
          <w:sz w:val="24"/>
          <w:szCs w:val="24"/>
        </w:rPr>
      </w:pPr>
      <w:r w:rsidRPr="008759A1">
        <w:rPr>
          <w:rFonts w:ascii="Times New Roman" w:hAnsi="Times New Roman" w:cs="Times New Roman"/>
          <w:sz w:val="24"/>
          <w:szCs w:val="24"/>
        </w:rPr>
        <w:t xml:space="preserve">A </w:t>
      </w:r>
      <w:r w:rsidR="00771DB7" w:rsidRPr="008759A1">
        <w:rPr>
          <w:rFonts w:ascii="Times New Roman" w:hAnsi="Times New Roman" w:cs="Times New Roman"/>
          <w:sz w:val="24"/>
          <w:szCs w:val="24"/>
        </w:rPr>
        <w:t xml:space="preserve">pesar de exhibir un desempeño </w:t>
      </w:r>
      <w:r w:rsidR="004340BD" w:rsidRPr="008759A1">
        <w:rPr>
          <w:rFonts w:ascii="Times New Roman" w:hAnsi="Times New Roman" w:cs="Times New Roman"/>
          <w:sz w:val="24"/>
          <w:szCs w:val="24"/>
        </w:rPr>
        <w:t>razonable</w:t>
      </w:r>
      <w:r w:rsidR="000947E4" w:rsidRPr="008759A1">
        <w:rPr>
          <w:rFonts w:ascii="Times New Roman" w:hAnsi="Times New Roman" w:cs="Times New Roman"/>
          <w:sz w:val="24"/>
          <w:szCs w:val="24"/>
        </w:rPr>
        <w:t xml:space="preserve"> </w:t>
      </w:r>
      <w:r w:rsidR="00771DB7" w:rsidRPr="008759A1">
        <w:rPr>
          <w:rFonts w:ascii="Times New Roman" w:hAnsi="Times New Roman" w:cs="Times New Roman"/>
          <w:sz w:val="24"/>
          <w:szCs w:val="24"/>
        </w:rPr>
        <w:t>en términos de crecimiento</w:t>
      </w:r>
      <w:r w:rsidR="000947E4" w:rsidRPr="008759A1">
        <w:rPr>
          <w:rFonts w:ascii="Times New Roman" w:hAnsi="Times New Roman" w:cs="Times New Roman"/>
          <w:sz w:val="24"/>
          <w:szCs w:val="24"/>
        </w:rPr>
        <w:t xml:space="preserve"> para el </w:t>
      </w:r>
      <w:r w:rsidR="00A72518" w:rsidRPr="008759A1">
        <w:rPr>
          <w:rFonts w:ascii="Times New Roman" w:hAnsi="Times New Roman" w:cs="Times New Roman"/>
          <w:sz w:val="24"/>
          <w:szCs w:val="24"/>
        </w:rPr>
        <w:t>período 2000-2014</w:t>
      </w:r>
      <w:r w:rsidR="000947E4" w:rsidRPr="008759A1">
        <w:rPr>
          <w:rFonts w:ascii="Times New Roman" w:hAnsi="Times New Roman" w:cs="Times New Roman"/>
          <w:sz w:val="24"/>
          <w:szCs w:val="24"/>
        </w:rPr>
        <w:t xml:space="preserve"> (</w:t>
      </w:r>
      <w:r w:rsidR="00A72518" w:rsidRPr="008759A1">
        <w:rPr>
          <w:rFonts w:ascii="Times New Roman" w:hAnsi="Times New Roman" w:cs="Times New Roman"/>
          <w:sz w:val="24"/>
          <w:szCs w:val="24"/>
        </w:rPr>
        <w:t>4,3</w:t>
      </w:r>
      <w:r w:rsidR="000947E4" w:rsidRPr="008759A1">
        <w:rPr>
          <w:rFonts w:ascii="Times New Roman" w:hAnsi="Times New Roman" w:cs="Times New Roman"/>
          <w:sz w:val="24"/>
          <w:szCs w:val="24"/>
        </w:rPr>
        <w:t>%)</w:t>
      </w:r>
      <w:r w:rsidR="000947E4" w:rsidRPr="008759A1">
        <w:rPr>
          <w:rFonts w:cs="Times New Roman"/>
          <w:vertAlign w:val="superscript"/>
        </w:rPr>
        <w:footnoteReference w:id="4"/>
      </w:r>
      <w:r w:rsidR="00771DB7" w:rsidRPr="008759A1">
        <w:rPr>
          <w:rFonts w:ascii="Times New Roman" w:hAnsi="Times New Roman" w:cs="Times New Roman"/>
          <w:sz w:val="24"/>
          <w:szCs w:val="24"/>
        </w:rPr>
        <w:t xml:space="preserve"> no hubo así un cambio en la </w:t>
      </w:r>
      <w:r w:rsidR="008B68CA" w:rsidRPr="008759A1">
        <w:rPr>
          <w:rFonts w:ascii="Times New Roman" w:hAnsi="Times New Roman" w:cs="Times New Roman"/>
          <w:sz w:val="24"/>
          <w:szCs w:val="24"/>
        </w:rPr>
        <w:t>sofisticación de</w:t>
      </w:r>
      <w:r w:rsidR="00D9050C" w:rsidRPr="008759A1">
        <w:rPr>
          <w:rFonts w:ascii="Times New Roman" w:hAnsi="Times New Roman" w:cs="Times New Roman"/>
          <w:sz w:val="24"/>
          <w:szCs w:val="24"/>
        </w:rPr>
        <w:t>l</w:t>
      </w:r>
      <w:r w:rsidR="008B68CA" w:rsidRPr="008759A1">
        <w:rPr>
          <w:rFonts w:ascii="Times New Roman" w:hAnsi="Times New Roman" w:cs="Times New Roman"/>
          <w:sz w:val="24"/>
          <w:szCs w:val="24"/>
        </w:rPr>
        <w:t xml:space="preserve"> vector productivo, el cual permitiría obtener mejores resultados </w:t>
      </w:r>
      <w:r w:rsidR="0078088A" w:rsidRPr="008759A1">
        <w:rPr>
          <w:rFonts w:ascii="Times New Roman" w:hAnsi="Times New Roman" w:cs="Times New Roman"/>
          <w:sz w:val="24"/>
          <w:szCs w:val="24"/>
        </w:rPr>
        <w:t xml:space="preserve">en términos de </w:t>
      </w:r>
      <w:proofErr w:type="spellStart"/>
      <w:r w:rsidR="0078088A" w:rsidRPr="008759A1">
        <w:rPr>
          <w:rFonts w:ascii="Times New Roman" w:hAnsi="Times New Roman" w:cs="Times New Roman"/>
          <w:sz w:val="24"/>
          <w:szCs w:val="24"/>
        </w:rPr>
        <w:t>catching</w:t>
      </w:r>
      <w:proofErr w:type="spellEnd"/>
      <w:r w:rsidR="0078088A" w:rsidRPr="008759A1">
        <w:rPr>
          <w:rFonts w:ascii="Times New Roman" w:hAnsi="Times New Roman" w:cs="Times New Roman"/>
          <w:sz w:val="24"/>
          <w:szCs w:val="24"/>
        </w:rPr>
        <w:t xml:space="preserve">-up </w:t>
      </w:r>
      <w:r w:rsidR="008B68CA" w:rsidRPr="008759A1">
        <w:rPr>
          <w:rFonts w:ascii="Times New Roman" w:hAnsi="Times New Roman" w:cs="Times New Roman"/>
          <w:sz w:val="24"/>
          <w:szCs w:val="24"/>
        </w:rPr>
        <w:t>(</w:t>
      </w:r>
      <w:proofErr w:type="spellStart"/>
      <w:r w:rsidR="008B68CA" w:rsidRPr="008759A1">
        <w:rPr>
          <w:rFonts w:ascii="Times New Roman" w:hAnsi="Times New Roman" w:cs="Times New Roman"/>
          <w:sz w:val="24"/>
          <w:szCs w:val="24"/>
        </w:rPr>
        <w:t>Hausmann</w:t>
      </w:r>
      <w:proofErr w:type="spellEnd"/>
      <w:r w:rsidR="008B68CA" w:rsidRPr="008759A1">
        <w:rPr>
          <w:rFonts w:ascii="Times New Roman" w:hAnsi="Times New Roman" w:cs="Times New Roman"/>
          <w:sz w:val="24"/>
          <w:szCs w:val="24"/>
        </w:rPr>
        <w:t xml:space="preserve">, </w:t>
      </w:r>
      <w:proofErr w:type="spellStart"/>
      <w:r w:rsidR="008B68CA" w:rsidRPr="008759A1">
        <w:rPr>
          <w:rFonts w:ascii="Times New Roman" w:hAnsi="Times New Roman" w:cs="Times New Roman"/>
          <w:sz w:val="24"/>
          <w:szCs w:val="24"/>
        </w:rPr>
        <w:t>Hwang</w:t>
      </w:r>
      <w:proofErr w:type="spellEnd"/>
      <w:r w:rsidR="008B68CA" w:rsidRPr="008759A1">
        <w:rPr>
          <w:rFonts w:ascii="Times New Roman" w:hAnsi="Times New Roman" w:cs="Times New Roman"/>
          <w:sz w:val="24"/>
          <w:szCs w:val="24"/>
        </w:rPr>
        <w:t xml:space="preserve"> y </w:t>
      </w:r>
      <w:proofErr w:type="spellStart"/>
      <w:r w:rsidR="008B68CA" w:rsidRPr="008759A1">
        <w:rPr>
          <w:rFonts w:ascii="Times New Roman" w:hAnsi="Times New Roman" w:cs="Times New Roman"/>
          <w:sz w:val="24"/>
          <w:szCs w:val="24"/>
        </w:rPr>
        <w:t>Rodrik</w:t>
      </w:r>
      <w:proofErr w:type="spellEnd"/>
      <w:r w:rsidR="008B68CA" w:rsidRPr="008759A1">
        <w:rPr>
          <w:rFonts w:ascii="Times New Roman" w:hAnsi="Times New Roman" w:cs="Times New Roman"/>
          <w:sz w:val="24"/>
          <w:szCs w:val="24"/>
        </w:rPr>
        <w:t>, 2007).</w:t>
      </w:r>
      <w:r w:rsidR="0078088A" w:rsidRPr="008759A1">
        <w:rPr>
          <w:rFonts w:ascii="Times New Roman" w:hAnsi="Times New Roman" w:cs="Times New Roman"/>
          <w:sz w:val="24"/>
          <w:szCs w:val="24"/>
        </w:rPr>
        <w:t xml:space="preserve"> </w:t>
      </w:r>
      <w:r w:rsidR="00307BD9" w:rsidRPr="008759A1">
        <w:rPr>
          <w:rFonts w:ascii="Times New Roman" w:hAnsi="Times New Roman" w:cs="Times New Roman"/>
          <w:sz w:val="24"/>
          <w:szCs w:val="24"/>
        </w:rPr>
        <w:t xml:space="preserve">La apertura económica </w:t>
      </w:r>
      <w:r w:rsidR="00884C14" w:rsidRPr="008759A1">
        <w:rPr>
          <w:rFonts w:ascii="Times New Roman" w:hAnsi="Times New Roman" w:cs="Times New Roman"/>
          <w:sz w:val="24"/>
          <w:szCs w:val="24"/>
        </w:rPr>
        <w:t xml:space="preserve">que comenzó en los setenta </w:t>
      </w:r>
      <w:r w:rsidR="00307BD9" w:rsidRPr="008759A1">
        <w:rPr>
          <w:rFonts w:ascii="Times New Roman" w:hAnsi="Times New Roman" w:cs="Times New Roman"/>
          <w:sz w:val="24"/>
          <w:szCs w:val="24"/>
        </w:rPr>
        <w:t xml:space="preserve">ha obligado a las empresas </w:t>
      </w:r>
      <w:r w:rsidR="00884C14" w:rsidRPr="008759A1">
        <w:rPr>
          <w:rFonts w:ascii="Times New Roman" w:hAnsi="Times New Roman" w:cs="Times New Roman"/>
          <w:sz w:val="24"/>
          <w:szCs w:val="24"/>
        </w:rPr>
        <w:lastRenderedPageBreak/>
        <w:t xml:space="preserve">a </w:t>
      </w:r>
      <w:r w:rsidR="00307BD9" w:rsidRPr="008759A1">
        <w:rPr>
          <w:rFonts w:ascii="Times New Roman" w:hAnsi="Times New Roman" w:cs="Times New Roman"/>
          <w:sz w:val="24"/>
          <w:szCs w:val="24"/>
        </w:rPr>
        <w:t xml:space="preserve">ajustes en eficiencia, mejoras de planta y cambios en la relación capital-trabajo con el objetivo de volverse más productivas. Sin </w:t>
      </w:r>
      <w:r w:rsidR="00040C34" w:rsidRPr="008759A1">
        <w:rPr>
          <w:rFonts w:ascii="Times New Roman" w:hAnsi="Times New Roman" w:cs="Times New Roman"/>
          <w:sz w:val="24"/>
          <w:szCs w:val="24"/>
        </w:rPr>
        <w:t>embargo,</w:t>
      </w:r>
      <w:r w:rsidR="00307BD9" w:rsidRPr="008759A1">
        <w:rPr>
          <w:rFonts w:ascii="Times New Roman" w:hAnsi="Times New Roman" w:cs="Times New Roman"/>
          <w:sz w:val="24"/>
          <w:szCs w:val="24"/>
        </w:rPr>
        <w:t xml:space="preserve"> la productividad agregada no sólo depende de las mejoras dentro de las industrias, sino también entre industrias, es decir, una reasignación eficiente de factores productivos. El problema se acrecienta con ventajas com</w:t>
      </w:r>
      <w:r w:rsidR="00884C14" w:rsidRPr="008759A1">
        <w:rPr>
          <w:rFonts w:ascii="Times New Roman" w:hAnsi="Times New Roman" w:cs="Times New Roman"/>
          <w:sz w:val="24"/>
          <w:szCs w:val="24"/>
        </w:rPr>
        <w:t xml:space="preserve">parativas en recursos naturales, tal como Chile, ya que de no </w:t>
      </w:r>
      <w:proofErr w:type="spellStart"/>
      <w:r w:rsidR="00884C14" w:rsidRPr="008759A1">
        <w:rPr>
          <w:rFonts w:ascii="Times New Roman" w:hAnsi="Times New Roman" w:cs="Times New Roman"/>
          <w:sz w:val="24"/>
          <w:szCs w:val="24"/>
        </w:rPr>
        <w:t>co</w:t>
      </w:r>
      <w:proofErr w:type="spellEnd"/>
      <w:r w:rsidR="00040C34" w:rsidRPr="008759A1">
        <w:rPr>
          <w:rFonts w:ascii="Times New Roman" w:hAnsi="Times New Roman" w:cs="Times New Roman"/>
          <w:sz w:val="24"/>
          <w:szCs w:val="24"/>
        </w:rPr>
        <w:t>-</w:t>
      </w:r>
      <w:r w:rsidR="00884C14" w:rsidRPr="008759A1">
        <w:rPr>
          <w:rFonts w:ascii="Times New Roman" w:hAnsi="Times New Roman" w:cs="Times New Roman"/>
          <w:sz w:val="24"/>
          <w:szCs w:val="24"/>
        </w:rPr>
        <w:t xml:space="preserve">evolucionar las instituciones adecuadas con el crecimiento económico, se </w:t>
      </w:r>
      <w:r w:rsidR="00D61FA6" w:rsidRPr="008759A1">
        <w:rPr>
          <w:rFonts w:ascii="Times New Roman" w:hAnsi="Times New Roman" w:cs="Times New Roman"/>
          <w:sz w:val="24"/>
          <w:szCs w:val="24"/>
        </w:rPr>
        <w:t>desincentiva</w:t>
      </w:r>
      <w:r w:rsidR="00884C14" w:rsidRPr="008759A1">
        <w:rPr>
          <w:rFonts w:ascii="Times New Roman" w:hAnsi="Times New Roman" w:cs="Times New Roman"/>
          <w:sz w:val="24"/>
          <w:szCs w:val="24"/>
        </w:rPr>
        <w:t xml:space="preserve"> el proceso de transformación productiva (</w:t>
      </w:r>
      <w:proofErr w:type="spellStart"/>
      <w:r w:rsidR="00884C14" w:rsidRPr="008759A1">
        <w:rPr>
          <w:rFonts w:ascii="Times New Roman" w:hAnsi="Times New Roman" w:cs="Times New Roman"/>
          <w:sz w:val="24"/>
          <w:szCs w:val="24"/>
        </w:rPr>
        <w:t>McMillan</w:t>
      </w:r>
      <w:proofErr w:type="spellEnd"/>
      <w:r w:rsidR="00884C14" w:rsidRPr="008759A1">
        <w:rPr>
          <w:rFonts w:ascii="Times New Roman" w:hAnsi="Times New Roman" w:cs="Times New Roman"/>
          <w:sz w:val="24"/>
          <w:szCs w:val="24"/>
        </w:rPr>
        <w:t xml:space="preserve"> y </w:t>
      </w:r>
      <w:proofErr w:type="spellStart"/>
      <w:r w:rsidR="00884C14" w:rsidRPr="008759A1">
        <w:rPr>
          <w:rFonts w:ascii="Times New Roman" w:hAnsi="Times New Roman" w:cs="Times New Roman"/>
          <w:sz w:val="24"/>
          <w:szCs w:val="24"/>
        </w:rPr>
        <w:t>Rodrik</w:t>
      </w:r>
      <w:proofErr w:type="spellEnd"/>
      <w:r w:rsidR="00884C14" w:rsidRPr="008759A1">
        <w:rPr>
          <w:rFonts w:ascii="Times New Roman" w:hAnsi="Times New Roman" w:cs="Times New Roman"/>
          <w:sz w:val="24"/>
          <w:szCs w:val="24"/>
        </w:rPr>
        <w:t>, 2011).</w:t>
      </w:r>
      <w:r w:rsidR="00190EEA" w:rsidRPr="008759A1">
        <w:rPr>
          <w:rFonts w:ascii="Times New Roman" w:hAnsi="Times New Roman" w:cs="Times New Roman"/>
          <w:sz w:val="24"/>
          <w:szCs w:val="24"/>
        </w:rPr>
        <w:t xml:space="preserve"> </w:t>
      </w:r>
    </w:p>
    <w:p w14:paraId="3D7D2754" w14:textId="478F41B7" w:rsidR="009A4A23" w:rsidRPr="008759A1" w:rsidRDefault="004340BD" w:rsidP="008759A1">
      <w:pPr>
        <w:jc w:val="both"/>
        <w:rPr>
          <w:rFonts w:ascii="Times New Roman" w:hAnsi="Times New Roman" w:cs="Times New Roman"/>
          <w:sz w:val="24"/>
          <w:szCs w:val="24"/>
        </w:rPr>
      </w:pPr>
      <w:r w:rsidRPr="008759A1">
        <w:rPr>
          <w:rFonts w:ascii="Times New Roman" w:hAnsi="Times New Roman" w:cs="Times New Roman"/>
          <w:sz w:val="24"/>
          <w:szCs w:val="24"/>
        </w:rPr>
        <w:t>El diagnóstico es claro, t</w:t>
      </w:r>
      <w:r w:rsidR="009A4A23" w:rsidRPr="008759A1">
        <w:rPr>
          <w:rFonts w:ascii="Times New Roman" w:hAnsi="Times New Roman" w:cs="Times New Roman"/>
          <w:sz w:val="24"/>
          <w:szCs w:val="24"/>
        </w:rPr>
        <w:t xml:space="preserve">ras la Crisis Asiática de 1998 la economía chilena consolida sectores </w:t>
      </w:r>
      <w:r w:rsidR="00FC34AC" w:rsidRPr="008759A1">
        <w:rPr>
          <w:rFonts w:ascii="Times New Roman" w:hAnsi="Times New Roman" w:cs="Times New Roman"/>
          <w:sz w:val="24"/>
          <w:szCs w:val="24"/>
        </w:rPr>
        <w:t xml:space="preserve">productivos </w:t>
      </w:r>
      <w:r w:rsidR="009A4A23" w:rsidRPr="008759A1">
        <w:rPr>
          <w:rFonts w:ascii="Times New Roman" w:hAnsi="Times New Roman" w:cs="Times New Roman"/>
          <w:sz w:val="24"/>
          <w:szCs w:val="24"/>
        </w:rPr>
        <w:t xml:space="preserve">provenientes del </w:t>
      </w:r>
      <w:r w:rsidR="00FC34AC" w:rsidRPr="008759A1">
        <w:rPr>
          <w:rFonts w:ascii="Times New Roman" w:hAnsi="Times New Roman" w:cs="Times New Roman"/>
          <w:sz w:val="24"/>
          <w:szCs w:val="24"/>
        </w:rPr>
        <w:t>ciclo</w:t>
      </w:r>
      <w:r w:rsidR="009A4A23" w:rsidRPr="008759A1">
        <w:rPr>
          <w:rFonts w:ascii="Times New Roman" w:hAnsi="Times New Roman" w:cs="Times New Roman"/>
          <w:sz w:val="24"/>
          <w:szCs w:val="24"/>
        </w:rPr>
        <w:t xml:space="preserve"> anterior, pero sin mayor diversificación</w:t>
      </w:r>
      <w:r w:rsidRPr="008759A1">
        <w:rPr>
          <w:rFonts w:ascii="Times New Roman" w:hAnsi="Times New Roman" w:cs="Times New Roman"/>
          <w:sz w:val="24"/>
          <w:szCs w:val="24"/>
        </w:rPr>
        <w:t xml:space="preserve"> de la matriz </w:t>
      </w:r>
      <w:r w:rsidR="001C090B" w:rsidRPr="008759A1">
        <w:rPr>
          <w:rFonts w:ascii="Times New Roman" w:hAnsi="Times New Roman" w:cs="Times New Roman"/>
          <w:sz w:val="24"/>
          <w:szCs w:val="24"/>
        </w:rPr>
        <w:t>productiva</w:t>
      </w:r>
      <w:r w:rsidRPr="008759A1">
        <w:rPr>
          <w:rFonts w:ascii="Times New Roman" w:hAnsi="Times New Roman" w:cs="Times New Roman"/>
          <w:sz w:val="24"/>
          <w:szCs w:val="24"/>
        </w:rPr>
        <w:t xml:space="preserve"> con</w:t>
      </w:r>
      <w:r w:rsidR="001C090B" w:rsidRPr="008759A1">
        <w:rPr>
          <w:rFonts w:ascii="Times New Roman" w:hAnsi="Times New Roman" w:cs="Times New Roman"/>
          <w:sz w:val="24"/>
          <w:szCs w:val="24"/>
        </w:rPr>
        <w:t xml:space="preserve"> un foco</w:t>
      </w:r>
      <w:r w:rsidR="009A4A23" w:rsidRPr="008759A1">
        <w:rPr>
          <w:rFonts w:ascii="Times New Roman" w:hAnsi="Times New Roman" w:cs="Times New Roman"/>
          <w:sz w:val="24"/>
          <w:szCs w:val="24"/>
        </w:rPr>
        <w:t xml:space="preserve"> de la economía hacia </w:t>
      </w:r>
      <w:r w:rsidR="00DB29AB">
        <w:rPr>
          <w:rFonts w:ascii="Times New Roman" w:hAnsi="Times New Roman" w:cs="Times New Roman"/>
          <w:sz w:val="24"/>
          <w:szCs w:val="24"/>
        </w:rPr>
        <w:t xml:space="preserve">el sector de los no transables, </w:t>
      </w:r>
      <w:r w:rsidR="009A4A23" w:rsidRPr="008759A1">
        <w:rPr>
          <w:rFonts w:ascii="Times New Roman" w:hAnsi="Times New Roman" w:cs="Times New Roman"/>
          <w:sz w:val="24"/>
          <w:szCs w:val="24"/>
        </w:rPr>
        <w:t xml:space="preserve">sólo más tarde el </w:t>
      </w:r>
      <w:proofErr w:type="spellStart"/>
      <w:r w:rsidR="009A4A23" w:rsidRPr="008759A1">
        <w:rPr>
          <w:rFonts w:ascii="Times New Roman" w:hAnsi="Times New Roman" w:cs="Times New Roman"/>
          <w:sz w:val="24"/>
          <w:szCs w:val="24"/>
        </w:rPr>
        <w:t>retail</w:t>
      </w:r>
      <w:proofErr w:type="spellEnd"/>
      <w:r w:rsidR="009A4A23" w:rsidRPr="008759A1">
        <w:rPr>
          <w:rFonts w:ascii="Times New Roman" w:hAnsi="Times New Roman" w:cs="Times New Roman"/>
          <w:sz w:val="24"/>
          <w:szCs w:val="24"/>
        </w:rPr>
        <w:t xml:space="preserve"> y otros servicios comienzan a expandirse hacia </w:t>
      </w:r>
      <w:r w:rsidR="00476BEC" w:rsidRPr="008759A1">
        <w:rPr>
          <w:rFonts w:ascii="Times New Roman" w:hAnsi="Times New Roman" w:cs="Times New Roman"/>
          <w:sz w:val="24"/>
          <w:szCs w:val="24"/>
        </w:rPr>
        <w:t>otros</w:t>
      </w:r>
      <w:r w:rsidR="00DB29AB">
        <w:rPr>
          <w:rFonts w:ascii="Times New Roman" w:hAnsi="Times New Roman" w:cs="Times New Roman"/>
          <w:sz w:val="24"/>
          <w:szCs w:val="24"/>
        </w:rPr>
        <w:t xml:space="preserve"> países</w:t>
      </w:r>
      <w:r w:rsidR="009A4A23" w:rsidRPr="008759A1">
        <w:rPr>
          <w:rFonts w:ascii="Times New Roman" w:hAnsi="Times New Roman" w:cs="Times New Roman"/>
          <w:sz w:val="24"/>
          <w:szCs w:val="24"/>
        </w:rPr>
        <w:t>. Ahora bien, el elemento distintivo de este ciclo ec</w:t>
      </w:r>
      <w:r w:rsidR="00FC34AC" w:rsidRPr="008759A1">
        <w:rPr>
          <w:rFonts w:ascii="Times New Roman" w:hAnsi="Times New Roman" w:cs="Times New Roman"/>
          <w:sz w:val="24"/>
          <w:szCs w:val="24"/>
        </w:rPr>
        <w:t>onómico (1999-actualidad) es el estancamiento d</w:t>
      </w:r>
      <w:r w:rsidR="009A4A23" w:rsidRPr="008759A1">
        <w:rPr>
          <w:rFonts w:ascii="Times New Roman" w:hAnsi="Times New Roman" w:cs="Times New Roman"/>
          <w:sz w:val="24"/>
          <w:szCs w:val="24"/>
        </w:rPr>
        <w:t xml:space="preserve">el crecimiento de la </w:t>
      </w:r>
      <w:r w:rsidR="00FC34AC" w:rsidRPr="008759A1">
        <w:rPr>
          <w:rFonts w:ascii="Times New Roman" w:hAnsi="Times New Roman" w:cs="Times New Roman"/>
          <w:sz w:val="24"/>
          <w:szCs w:val="24"/>
        </w:rPr>
        <w:t xml:space="preserve">productividad. En el </w:t>
      </w:r>
      <w:r w:rsidR="00D9050C" w:rsidRPr="008759A1">
        <w:rPr>
          <w:rFonts w:ascii="Times New Roman" w:hAnsi="Times New Roman" w:cs="Times New Roman"/>
          <w:sz w:val="24"/>
          <w:szCs w:val="24"/>
        </w:rPr>
        <w:t>G</w:t>
      </w:r>
      <w:r w:rsidR="009A4A23" w:rsidRPr="008759A1">
        <w:rPr>
          <w:rFonts w:ascii="Times New Roman" w:hAnsi="Times New Roman" w:cs="Times New Roman"/>
          <w:sz w:val="24"/>
          <w:szCs w:val="24"/>
        </w:rPr>
        <w:t xml:space="preserve">ráfico </w:t>
      </w:r>
      <w:r w:rsidR="00FC34AC" w:rsidRPr="008759A1">
        <w:rPr>
          <w:rFonts w:ascii="Times New Roman" w:hAnsi="Times New Roman" w:cs="Times New Roman"/>
          <w:sz w:val="24"/>
          <w:szCs w:val="24"/>
        </w:rPr>
        <w:t>1.</w:t>
      </w:r>
      <w:r w:rsidR="008759A1" w:rsidRPr="008759A1">
        <w:rPr>
          <w:rFonts w:ascii="Times New Roman" w:hAnsi="Times New Roman" w:cs="Times New Roman"/>
          <w:sz w:val="24"/>
          <w:szCs w:val="24"/>
        </w:rPr>
        <w:t>2</w:t>
      </w:r>
      <w:r w:rsidR="00FC34AC" w:rsidRPr="008759A1">
        <w:rPr>
          <w:rFonts w:ascii="Times New Roman" w:hAnsi="Times New Roman" w:cs="Times New Roman"/>
          <w:sz w:val="24"/>
          <w:szCs w:val="24"/>
        </w:rPr>
        <w:t xml:space="preserve"> se presenta la evolución de la </w:t>
      </w:r>
      <w:r w:rsidR="00DB29AB">
        <w:rPr>
          <w:rFonts w:ascii="Times New Roman" w:hAnsi="Times New Roman" w:cs="Times New Roman"/>
          <w:sz w:val="24"/>
          <w:szCs w:val="24"/>
        </w:rPr>
        <w:t>Productividad Total de F</w:t>
      </w:r>
      <w:r w:rsidR="00D9050C" w:rsidRPr="008759A1">
        <w:rPr>
          <w:rFonts w:ascii="Times New Roman" w:hAnsi="Times New Roman" w:cs="Times New Roman"/>
          <w:sz w:val="24"/>
          <w:szCs w:val="24"/>
        </w:rPr>
        <w:t>actores (</w:t>
      </w:r>
      <w:r w:rsidR="00FC34AC" w:rsidRPr="008759A1">
        <w:rPr>
          <w:rFonts w:ascii="Times New Roman" w:hAnsi="Times New Roman" w:cs="Times New Roman"/>
          <w:sz w:val="24"/>
          <w:szCs w:val="24"/>
        </w:rPr>
        <w:t>PTF</w:t>
      </w:r>
      <w:r w:rsidR="00D9050C" w:rsidRPr="008759A1">
        <w:rPr>
          <w:rFonts w:ascii="Times New Roman" w:hAnsi="Times New Roman" w:cs="Times New Roman"/>
          <w:sz w:val="24"/>
          <w:szCs w:val="24"/>
        </w:rPr>
        <w:t>)</w:t>
      </w:r>
      <w:r w:rsidR="00A33FDA" w:rsidRPr="008759A1">
        <w:rPr>
          <w:rFonts w:ascii="Times New Roman" w:hAnsi="Times New Roman" w:cs="Times New Roman"/>
          <w:sz w:val="24"/>
          <w:szCs w:val="24"/>
        </w:rPr>
        <w:t xml:space="preserve"> entre 1993 y 2014</w:t>
      </w:r>
      <w:r w:rsidR="009A4A23" w:rsidRPr="008759A1">
        <w:rPr>
          <w:rFonts w:ascii="Times New Roman" w:hAnsi="Times New Roman" w:cs="Times New Roman"/>
          <w:sz w:val="24"/>
          <w:szCs w:val="24"/>
        </w:rPr>
        <w:t>.</w:t>
      </w:r>
    </w:p>
    <w:p w14:paraId="055A8E65" w14:textId="4B760DEA" w:rsidR="005474E6" w:rsidRPr="006A0175" w:rsidRDefault="005474E6" w:rsidP="002E2342">
      <w:pPr>
        <w:pStyle w:val="Sinespaciado"/>
        <w:jc w:val="both"/>
        <w:rPr>
          <w:rFonts w:ascii="Times New Roman" w:hAnsi="Times New Roman"/>
          <w:sz w:val="24"/>
          <w:szCs w:val="24"/>
        </w:rPr>
      </w:pPr>
    </w:p>
    <w:p w14:paraId="7E157A1A" w14:textId="321398F8" w:rsidR="00FB5A71" w:rsidRPr="006A0175" w:rsidRDefault="009053F0" w:rsidP="00FB5A71">
      <w:pPr>
        <w:pStyle w:val="Sinespaciado"/>
        <w:jc w:val="center"/>
        <w:rPr>
          <w:rFonts w:ascii="Times New Roman" w:hAnsi="Times New Roman"/>
          <w:sz w:val="24"/>
          <w:szCs w:val="24"/>
          <w:u w:val="single"/>
        </w:rPr>
      </w:pPr>
      <w:r w:rsidRPr="006A0175">
        <w:rPr>
          <w:rFonts w:ascii="Times New Roman" w:hAnsi="Times New Roman"/>
          <w:sz w:val="24"/>
          <w:szCs w:val="24"/>
          <w:u w:val="single"/>
        </w:rPr>
        <w:t xml:space="preserve">Gráfico </w:t>
      </w:r>
      <w:r w:rsidR="00FC34AC" w:rsidRPr="006A0175">
        <w:rPr>
          <w:rFonts w:ascii="Times New Roman" w:hAnsi="Times New Roman"/>
          <w:sz w:val="24"/>
          <w:szCs w:val="24"/>
          <w:u w:val="single"/>
        </w:rPr>
        <w:t>1.</w:t>
      </w:r>
      <w:r w:rsidR="008759A1">
        <w:rPr>
          <w:rFonts w:ascii="Times New Roman" w:hAnsi="Times New Roman"/>
          <w:sz w:val="24"/>
          <w:szCs w:val="24"/>
          <w:u w:val="single"/>
        </w:rPr>
        <w:t>2</w:t>
      </w:r>
      <w:r w:rsidR="00FB5A71" w:rsidRPr="006A0175">
        <w:rPr>
          <w:rFonts w:ascii="Times New Roman" w:hAnsi="Times New Roman"/>
          <w:sz w:val="24"/>
          <w:szCs w:val="24"/>
          <w:u w:val="single"/>
        </w:rPr>
        <w:t xml:space="preserve">: Chile, </w:t>
      </w:r>
      <w:r w:rsidR="006404E9" w:rsidRPr="006A0175">
        <w:rPr>
          <w:rFonts w:ascii="Times New Roman" w:hAnsi="Times New Roman"/>
          <w:sz w:val="24"/>
          <w:szCs w:val="24"/>
          <w:u w:val="single"/>
        </w:rPr>
        <w:t xml:space="preserve">Índice </w:t>
      </w:r>
      <w:r w:rsidR="00FB5A71" w:rsidRPr="006A0175">
        <w:rPr>
          <w:rFonts w:ascii="Times New Roman" w:hAnsi="Times New Roman"/>
          <w:sz w:val="24"/>
          <w:szCs w:val="24"/>
          <w:u w:val="single"/>
        </w:rPr>
        <w:t>Productivid</w:t>
      </w:r>
      <w:r w:rsidR="00A33FDA" w:rsidRPr="006A0175">
        <w:rPr>
          <w:rFonts w:ascii="Times New Roman" w:hAnsi="Times New Roman"/>
          <w:sz w:val="24"/>
          <w:szCs w:val="24"/>
          <w:u w:val="single"/>
        </w:rPr>
        <w:t>ad Total de Factores (PTF), 1993-2014 (1993</w:t>
      </w:r>
      <w:r w:rsidR="006404E9" w:rsidRPr="006A0175">
        <w:rPr>
          <w:rFonts w:ascii="Times New Roman" w:hAnsi="Times New Roman"/>
          <w:sz w:val="24"/>
          <w:szCs w:val="24"/>
          <w:u w:val="single"/>
        </w:rPr>
        <w:t>=100)</w:t>
      </w:r>
    </w:p>
    <w:p w14:paraId="18FA273E" w14:textId="38B8887D" w:rsidR="00FB5A71" w:rsidRPr="006A0175" w:rsidRDefault="00883CA4" w:rsidP="00FB5A71">
      <w:pPr>
        <w:pStyle w:val="Sinespaciado"/>
        <w:jc w:val="center"/>
        <w:rPr>
          <w:rFonts w:ascii="Times New Roman" w:hAnsi="Times New Roman"/>
          <w:sz w:val="24"/>
          <w:szCs w:val="24"/>
          <w:u w:val="single"/>
        </w:rPr>
      </w:pPr>
      <w:r>
        <w:rPr>
          <w:noProof/>
        </w:rPr>
        <w:drawing>
          <wp:inline distT="0" distB="0" distL="0" distR="0" wp14:anchorId="1A58FDB4" wp14:editId="162E2B07">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C0294C" w14:textId="07FECF64" w:rsidR="009053F0" w:rsidRPr="006A0175" w:rsidRDefault="009053F0" w:rsidP="002E2342">
      <w:pPr>
        <w:pStyle w:val="Sinespaciado"/>
        <w:jc w:val="center"/>
        <w:rPr>
          <w:rFonts w:ascii="Times New Roman" w:hAnsi="Times New Roman"/>
          <w:sz w:val="24"/>
          <w:szCs w:val="24"/>
        </w:rPr>
      </w:pPr>
    </w:p>
    <w:p w14:paraId="22136570" w14:textId="7901CD39" w:rsidR="009053F0" w:rsidRPr="00111B9F" w:rsidRDefault="00CE0CAD" w:rsidP="002E2342">
      <w:pPr>
        <w:pStyle w:val="Sinespaciado"/>
        <w:jc w:val="both"/>
        <w:rPr>
          <w:rFonts w:ascii="Times New Roman" w:hAnsi="Times New Roman"/>
          <w:sz w:val="20"/>
          <w:szCs w:val="20"/>
        </w:rPr>
      </w:pPr>
      <w:r w:rsidRPr="00111B9F">
        <w:rPr>
          <w:rFonts w:ascii="Times New Roman" w:hAnsi="Times New Roman"/>
          <w:sz w:val="20"/>
          <w:szCs w:val="20"/>
        </w:rPr>
        <w:t>Fuente: E</w:t>
      </w:r>
      <w:r w:rsidR="009053F0" w:rsidRPr="00111B9F">
        <w:rPr>
          <w:rFonts w:ascii="Times New Roman" w:hAnsi="Times New Roman"/>
          <w:sz w:val="20"/>
          <w:szCs w:val="20"/>
        </w:rPr>
        <w:t>laboraci</w:t>
      </w:r>
      <w:r w:rsidR="00A33FDA" w:rsidRPr="00111B9F">
        <w:rPr>
          <w:rFonts w:ascii="Times New Roman" w:hAnsi="Times New Roman"/>
          <w:sz w:val="20"/>
          <w:szCs w:val="20"/>
        </w:rPr>
        <w:t>ón propia en base a Boletín Anual E</w:t>
      </w:r>
      <w:r w:rsidRPr="00111B9F">
        <w:rPr>
          <w:rFonts w:ascii="Times New Roman" w:hAnsi="Times New Roman"/>
          <w:sz w:val="20"/>
          <w:szCs w:val="20"/>
        </w:rPr>
        <w:t xml:space="preserve">volución de la PTF en Chile, </w:t>
      </w:r>
      <w:r w:rsidR="00A33FDA" w:rsidRPr="00111B9F">
        <w:rPr>
          <w:rFonts w:ascii="Times New Roman" w:hAnsi="Times New Roman"/>
          <w:sz w:val="20"/>
          <w:szCs w:val="20"/>
        </w:rPr>
        <w:t>CORFO</w:t>
      </w:r>
      <w:r w:rsidRPr="00111B9F">
        <w:rPr>
          <w:rFonts w:ascii="Times New Roman" w:hAnsi="Times New Roman"/>
          <w:sz w:val="20"/>
          <w:szCs w:val="20"/>
        </w:rPr>
        <w:t>-UAI 2014.</w:t>
      </w:r>
    </w:p>
    <w:p w14:paraId="011E6276" w14:textId="77777777" w:rsidR="00A33FDA" w:rsidRPr="006A0175" w:rsidRDefault="00A33FDA" w:rsidP="002E2342">
      <w:pPr>
        <w:pStyle w:val="Sinespaciado"/>
        <w:jc w:val="both"/>
        <w:rPr>
          <w:rFonts w:ascii="Times New Roman" w:hAnsi="Times New Roman"/>
          <w:sz w:val="24"/>
          <w:szCs w:val="24"/>
        </w:rPr>
      </w:pPr>
    </w:p>
    <w:p w14:paraId="2CCD1C7A" w14:textId="3A521955" w:rsidR="00F94C83" w:rsidRPr="00A347F5" w:rsidRDefault="00111B9F" w:rsidP="00A347F5">
      <w:pPr>
        <w:jc w:val="both"/>
        <w:rPr>
          <w:rFonts w:ascii="Times New Roman" w:hAnsi="Times New Roman" w:cs="Times New Roman"/>
          <w:sz w:val="24"/>
          <w:szCs w:val="24"/>
        </w:rPr>
      </w:pPr>
      <w:r w:rsidRPr="00A347F5">
        <w:rPr>
          <w:rFonts w:ascii="Times New Roman" w:hAnsi="Times New Roman" w:cs="Times New Roman"/>
          <w:sz w:val="24"/>
          <w:szCs w:val="24"/>
        </w:rPr>
        <w:t>En base a</w:t>
      </w:r>
      <w:r w:rsidR="00C665CA" w:rsidRPr="00A347F5">
        <w:rPr>
          <w:rFonts w:ascii="Times New Roman" w:hAnsi="Times New Roman" w:cs="Times New Roman"/>
          <w:sz w:val="24"/>
          <w:szCs w:val="24"/>
        </w:rPr>
        <w:t xml:space="preserve"> lo anterior, la incapacidad para sustentar incrementos tanto de empleo como </w:t>
      </w:r>
      <w:proofErr w:type="gramStart"/>
      <w:r w:rsidR="00982F75" w:rsidRPr="00A347F5">
        <w:rPr>
          <w:rFonts w:ascii="Times New Roman" w:hAnsi="Times New Roman" w:cs="Times New Roman"/>
          <w:sz w:val="24"/>
          <w:szCs w:val="24"/>
        </w:rPr>
        <w:t>productividad estables</w:t>
      </w:r>
      <w:proofErr w:type="gramEnd"/>
      <w:r w:rsidR="00C665CA" w:rsidRPr="00A347F5">
        <w:rPr>
          <w:rFonts w:ascii="Times New Roman" w:hAnsi="Times New Roman" w:cs="Times New Roman"/>
          <w:sz w:val="24"/>
          <w:szCs w:val="24"/>
        </w:rPr>
        <w:t xml:space="preserve">, ha sido una de las principales razones por la cual no ha sido posible cerrar la brecha tecnológico-productiva con las economías desarrolladas. Aparece entonces la innovación </w:t>
      </w:r>
      <w:r w:rsidR="00F94C83" w:rsidRPr="00A347F5">
        <w:rPr>
          <w:rFonts w:ascii="Times New Roman" w:hAnsi="Times New Roman" w:cs="Times New Roman"/>
          <w:sz w:val="24"/>
          <w:szCs w:val="24"/>
        </w:rPr>
        <w:t xml:space="preserve">y la </w:t>
      </w:r>
      <w:r w:rsidR="00D9050C" w:rsidRPr="00A347F5">
        <w:rPr>
          <w:rFonts w:ascii="Times New Roman" w:hAnsi="Times New Roman" w:cs="Times New Roman"/>
          <w:sz w:val="24"/>
          <w:szCs w:val="24"/>
        </w:rPr>
        <w:t>investigación y desarrollo (</w:t>
      </w:r>
      <w:r w:rsidR="00F94C83" w:rsidRPr="00A347F5">
        <w:rPr>
          <w:rFonts w:ascii="Times New Roman" w:hAnsi="Times New Roman" w:cs="Times New Roman"/>
          <w:sz w:val="24"/>
          <w:szCs w:val="24"/>
        </w:rPr>
        <w:t>I+D</w:t>
      </w:r>
      <w:r w:rsidR="00D9050C" w:rsidRPr="00A347F5">
        <w:rPr>
          <w:rFonts w:ascii="Times New Roman" w:hAnsi="Times New Roman" w:cs="Times New Roman"/>
          <w:sz w:val="24"/>
          <w:szCs w:val="24"/>
        </w:rPr>
        <w:t>)</w:t>
      </w:r>
      <w:r w:rsidR="00F94C83" w:rsidRPr="00A347F5">
        <w:rPr>
          <w:rFonts w:ascii="Times New Roman" w:hAnsi="Times New Roman" w:cs="Times New Roman"/>
          <w:sz w:val="24"/>
          <w:szCs w:val="24"/>
        </w:rPr>
        <w:t xml:space="preserve"> </w:t>
      </w:r>
      <w:r w:rsidR="00C665CA" w:rsidRPr="00A347F5">
        <w:rPr>
          <w:rFonts w:ascii="Times New Roman" w:hAnsi="Times New Roman" w:cs="Times New Roman"/>
          <w:sz w:val="24"/>
          <w:szCs w:val="24"/>
        </w:rPr>
        <w:t xml:space="preserve">como </w:t>
      </w:r>
      <w:r w:rsidR="008759A1">
        <w:rPr>
          <w:rFonts w:ascii="Times New Roman" w:hAnsi="Times New Roman" w:cs="Times New Roman"/>
          <w:sz w:val="24"/>
          <w:szCs w:val="24"/>
        </w:rPr>
        <w:t>elementos</w:t>
      </w:r>
      <w:r w:rsidR="00C665CA" w:rsidRPr="00A347F5">
        <w:rPr>
          <w:rFonts w:ascii="Times New Roman" w:hAnsi="Times New Roman" w:cs="Times New Roman"/>
          <w:sz w:val="24"/>
          <w:szCs w:val="24"/>
        </w:rPr>
        <w:t xml:space="preserve"> fundamental</w:t>
      </w:r>
      <w:r w:rsidR="008759A1">
        <w:rPr>
          <w:rFonts w:ascii="Times New Roman" w:hAnsi="Times New Roman" w:cs="Times New Roman"/>
          <w:sz w:val="24"/>
          <w:szCs w:val="24"/>
        </w:rPr>
        <w:t>es</w:t>
      </w:r>
      <w:r w:rsidR="00C665CA" w:rsidRPr="00A347F5">
        <w:rPr>
          <w:rFonts w:ascii="Times New Roman" w:hAnsi="Times New Roman" w:cs="Times New Roman"/>
          <w:sz w:val="24"/>
          <w:szCs w:val="24"/>
        </w:rPr>
        <w:t xml:space="preserve"> para incrementar la productividad y transformar el aparato productivo mediante nuevos productos, procesos y servicios. En resumidas </w:t>
      </w:r>
      <w:r w:rsidR="00040C34" w:rsidRPr="00A347F5">
        <w:rPr>
          <w:rFonts w:ascii="Times New Roman" w:hAnsi="Times New Roman" w:cs="Times New Roman"/>
          <w:sz w:val="24"/>
          <w:szCs w:val="24"/>
        </w:rPr>
        <w:t>cuentas,</w:t>
      </w:r>
      <w:r w:rsidR="00C665CA" w:rsidRPr="00A347F5">
        <w:rPr>
          <w:rFonts w:ascii="Times New Roman" w:hAnsi="Times New Roman" w:cs="Times New Roman"/>
          <w:sz w:val="24"/>
          <w:szCs w:val="24"/>
        </w:rPr>
        <w:t xml:space="preserve"> se requiere una </w:t>
      </w:r>
      <w:r w:rsidR="001C090B">
        <w:rPr>
          <w:rFonts w:ascii="Times New Roman" w:hAnsi="Times New Roman" w:cs="Times New Roman"/>
          <w:sz w:val="24"/>
          <w:szCs w:val="24"/>
        </w:rPr>
        <w:t>sofisticación</w:t>
      </w:r>
      <w:r w:rsidR="004340BD" w:rsidRPr="00A347F5">
        <w:rPr>
          <w:rFonts w:ascii="Times New Roman" w:hAnsi="Times New Roman" w:cs="Times New Roman"/>
          <w:sz w:val="24"/>
          <w:szCs w:val="24"/>
        </w:rPr>
        <w:t xml:space="preserve"> de</w:t>
      </w:r>
      <w:r w:rsidR="00C665CA" w:rsidRPr="00A347F5">
        <w:rPr>
          <w:rFonts w:ascii="Times New Roman" w:hAnsi="Times New Roman" w:cs="Times New Roman"/>
          <w:sz w:val="24"/>
          <w:szCs w:val="24"/>
        </w:rPr>
        <w:t xml:space="preserve"> nuestra matriz productiva</w:t>
      </w:r>
      <w:r w:rsidR="00F94C83" w:rsidRPr="00A347F5">
        <w:rPr>
          <w:rFonts w:ascii="Times New Roman" w:hAnsi="Times New Roman" w:cs="Times New Roman"/>
          <w:sz w:val="24"/>
          <w:szCs w:val="24"/>
        </w:rPr>
        <w:t xml:space="preserve">, incrementando nuestra escala de producción principalmente en las </w:t>
      </w:r>
      <w:r w:rsidR="00D9050C" w:rsidRPr="00A347F5">
        <w:rPr>
          <w:rFonts w:ascii="Times New Roman" w:hAnsi="Times New Roman" w:cs="Times New Roman"/>
          <w:sz w:val="24"/>
          <w:szCs w:val="24"/>
        </w:rPr>
        <w:t>MYPYMES</w:t>
      </w:r>
      <w:r w:rsidR="00F94C83" w:rsidRPr="00A347F5">
        <w:rPr>
          <w:rFonts w:ascii="Times New Roman" w:hAnsi="Times New Roman" w:cs="Times New Roman"/>
          <w:sz w:val="24"/>
          <w:szCs w:val="24"/>
        </w:rPr>
        <w:t xml:space="preserve">, permitiendo mejoras en términos de eficiencia, capital o talento humano y acceso al capital. </w:t>
      </w:r>
      <w:r w:rsidR="00F94C83" w:rsidRPr="00A347F5">
        <w:rPr>
          <w:rFonts w:ascii="Times New Roman" w:hAnsi="Times New Roman" w:cs="Times New Roman"/>
          <w:sz w:val="24"/>
          <w:szCs w:val="24"/>
        </w:rPr>
        <w:lastRenderedPageBreak/>
        <w:t xml:space="preserve">Más aún, estudios </w:t>
      </w:r>
      <w:r w:rsidR="00921565" w:rsidRPr="00A347F5">
        <w:rPr>
          <w:rFonts w:ascii="Times New Roman" w:hAnsi="Times New Roman" w:cs="Times New Roman"/>
          <w:sz w:val="24"/>
          <w:szCs w:val="24"/>
        </w:rPr>
        <w:t xml:space="preserve">empíricos </w:t>
      </w:r>
      <w:r w:rsidR="00F94C83" w:rsidRPr="00A347F5">
        <w:rPr>
          <w:rFonts w:ascii="Times New Roman" w:hAnsi="Times New Roman" w:cs="Times New Roman"/>
          <w:sz w:val="24"/>
          <w:szCs w:val="24"/>
        </w:rPr>
        <w:t xml:space="preserve">y modelos </w:t>
      </w:r>
      <w:r w:rsidR="00921565" w:rsidRPr="00A347F5">
        <w:rPr>
          <w:rFonts w:ascii="Times New Roman" w:hAnsi="Times New Roman" w:cs="Times New Roman"/>
          <w:sz w:val="24"/>
          <w:szCs w:val="24"/>
        </w:rPr>
        <w:t xml:space="preserve">teóricos </w:t>
      </w:r>
      <w:r w:rsidR="00F94C83" w:rsidRPr="00A347F5">
        <w:rPr>
          <w:rFonts w:ascii="Times New Roman" w:hAnsi="Times New Roman" w:cs="Times New Roman"/>
          <w:sz w:val="24"/>
          <w:szCs w:val="24"/>
        </w:rPr>
        <w:t>muestran el ciclo virtuoso de sinergias entre gasto en I+D, innovación, productividad e ingreso per cápita reforzándose mutuamente y permitiendo a los países no sólo estimular sus economías, sino sostener tasas de crecimiento en el largo plazo (</w:t>
      </w:r>
      <w:proofErr w:type="spellStart"/>
      <w:r w:rsidR="00F94C83" w:rsidRPr="00A347F5">
        <w:rPr>
          <w:rFonts w:ascii="Times New Roman" w:hAnsi="Times New Roman" w:cs="Times New Roman"/>
          <w:sz w:val="24"/>
          <w:szCs w:val="24"/>
        </w:rPr>
        <w:t>Crespi</w:t>
      </w:r>
      <w:proofErr w:type="spellEnd"/>
      <w:r w:rsidR="00F94C83" w:rsidRPr="00A347F5">
        <w:rPr>
          <w:rFonts w:ascii="Times New Roman" w:hAnsi="Times New Roman" w:cs="Times New Roman"/>
          <w:sz w:val="24"/>
          <w:szCs w:val="24"/>
        </w:rPr>
        <w:t xml:space="preserve"> y </w:t>
      </w:r>
      <w:proofErr w:type="spellStart"/>
      <w:r w:rsidR="00F94C83" w:rsidRPr="00A347F5">
        <w:rPr>
          <w:rFonts w:ascii="Times New Roman" w:hAnsi="Times New Roman" w:cs="Times New Roman"/>
          <w:sz w:val="24"/>
          <w:szCs w:val="24"/>
        </w:rPr>
        <w:t>Zuñiga</w:t>
      </w:r>
      <w:proofErr w:type="spellEnd"/>
      <w:r w:rsidR="00F94C83" w:rsidRPr="00A347F5">
        <w:rPr>
          <w:rFonts w:ascii="Times New Roman" w:hAnsi="Times New Roman" w:cs="Times New Roman"/>
          <w:sz w:val="24"/>
          <w:szCs w:val="24"/>
        </w:rPr>
        <w:t xml:space="preserve">, 2012; OCDE, 2009; </w:t>
      </w:r>
      <w:proofErr w:type="spellStart"/>
      <w:r w:rsidR="00D20D39">
        <w:rPr>
          <w:rFonts w:ascii="Times New Roman" w:hAnsi="Times New Roman" w:cs="Times New Roman"/>
          <w:sz w:val="24"/>
          <w:szCs w:val="24"/>
        </w:rPr>
        <w:t>Aghion</w:t>
      </w:r>
      <w:proofErr w:type="spellEnd"/>
      <w:r w:rsidR="00D20D39">
        <w:rPr>
          <w:rFonts w:ascii="Times New Roman" w:hAnsi="Times New Roman" w:cs="Times New Roman"/>
          <w:sz w:val="24"/>
          <w:szCs w:val="24"/>
        </w:rPr>
        <w:t xml:space="preserve"> y </w:t>
      </w:r>
      <w:proofErr w:type="spellStart"/>
      <w:r w:rsidR="00D20D39">
        <w:rPr>
          <w:rFonts w:ascii="Times New Roman" w:hAnsi="Times New Roman" w:cs="Times New Roman"/>
          <w:sz w:val="24"/>
          <w:szCs w:val="24"/>
        </w:rPr>
        <w:t>Howitt</w:t>
      </w:r>
      <w:proofErr w:type="spellEnd"/>
      <w:r w:rsidR="00D20D39">
        <w:rPr>
          <w:rFonts w:ascii="Times New Roman" w:hAnsi="Times New Roman" w:cs="Times New Roman"/>
          <w:sz w:val="24"/>
          <w:szCs w:val="24"/>
        </w:rPr>
        <w:t>, 2009).</w:t>
      </w:r>
    </w:p>
    <w:p w14:paraId="23B2D78B" w14:textId="6B044DF3" w:rsidR="00040C34" w:rsidRPr="00A347F5" w:rsidRDefault="00040C34" w:rsidP="00A347F5">
      <w:pPr>
        <w:jc w:val="both"/>
        <w:rPr>
          <w:rFonts w:ascii="Times New Roman" w:hAnsi="Times New Roman" w:cs="Times New Roman"/>
          <w:sz w:val="24"/>
          <w:szCs w:val="24"/>
        </w:rPr>
      </w:pPr>
      <w:r w:rsidRPr="00A347F5">
        <w:rPr>
          <w:rFonts w:ascii="Times New Roman" w:hAnsi="Times New Roman" w:cs="Times New Roman"/>
          <w:sz w:val="24"/>
          <w:szCs w:val="24"/>
        </w:rPr>
        <w:t>L</w:t>
      </w:r>
      <w:r w:rsidR="00574225" w:rsidRPr="00A347F5">
        <w:rPr>
          <w:rFonts w:ascii="Times New Roman" w:hAnsi="Times New Roman" w:cs="Times New Roman"/>
          <w:sz w:val="24"/>
          <w:szCs w:val="24"/>
        </w:rPr>
        <w:t xml:space="preserve">a política en innovación </w:t>
      </w:r>
      <w:r w:rsidR="003611C3" w:rsidRPr="00A347F5">
        <w:rPr>
          <w:rFonts w:ascii="Times New Roman" w:hAnsi="Times New Roman" w:cs="Times New Roman"/>
          <w:sz w:val="24"/>
          <w:szCs w:val="24"/>
        </w:rPr>
        <w:t xml:space="preserve">emerge </w:t>
      </w:r>
      <w:r w:rsidR="00574225" w:rsidRPr="00A347F5">
        <w:rPr>
          <w:rFonts w:ascii="Times New Roman" w:hAnsi="Times New Roman" w:cs="Times New Roman"/>
          <w:sz w:val="24"/>
          <w:szCs w:val="24"/>
        </w:rPr>
        <w:t>como una necesidad esencial para nuestro desarrollo. No hay forma de crecer en forma sostenible y sustentab</w:t>
      </w:r>
      <w:r w:rsidR="00F94C83" w:rsidRPr="00A347F5">
        <w:rPr>
          <w:rFonts w:ascii="Times New Roman" w:hAnsi="Times New Roman" w:cs="Times New Roman"/>
          <w:sz w:val="24"/>
          <w:szCs w:val="24"/>
        </w:rPr>
        <w:t xml:space="preserve">le sin basarse en la innovación </w:t>
      </w:r>
      <w:r w:rsidR="00574225" w:rsidRPr="00A347F5">
        <w:rPr>
          <w:rFonts w:ascii="Times New Roman" w:hAnsi="Times New Roman" w:cs="Times New Roman"/>
          <w:sz w:val="24"/>
          <w:szCs w:val="24"/>
        </w:rPr>
        <w:t xml:space="preserve">y en el desarrollo e incorporación de nuevo conocimiento a las actividades productivas del país. </w:t>
      </w:r>
      <w:r w:rsidR="008759A1">
        <w:rPr>
          <w:rFonts w:ascii="Times New Roman" w:hAnsi="Times New Roman" w:cs="Times New Roman"/>
          <w:sz w:val="24"/>
          <w:szCs w:val="24"/>
        </w:rPr>
        <w:t>L</w:t>
      </w:r>
      <w:r w:rsidR="00574225" w:rsidRPr="00A347F5">
        <w:rPr>
          <w:rFonts w:ascii="Times New Roman" w:hAnsi="Times New Roman" w:cs="Times New Roman"/>
          <w:sz w:val="24"/>
          <w:szCs w:val="24"/>
        </w:rPr>
        <w:t xml:space="preserve">a innovación es hoy día el motor de la transformación productiva, al tener la capacidad de crear nuevos productos y servicios intensivos en conocimiento, los cuales son de alta productividad, abriendo espacios a nuevas áreas de desarrollo, y generando </w:t>
      </w:r>
      <w:r w:rsidR="008759A1">
        <w:rPr>
          <w:rFonts w:ascii="Times New Roman" w:hAnsi="Times New Roman" w:cs="Times New Roman"/>
          <w:sz w:val="24"/>
          <w:szCs w:val="24"/>
        </w:rPr>
        <w:t xml:space="preserve">externalidades positivas </w:t>
      </w:r>
      <w:r w:rsidR="00574225" w:rsidRPr="00A347F5">
        <w:rPr>
          <w:rFonts w:ascii="Times New Roman" w:hAnsi="Times New Roman" w:cs="Times New Roman"/>
          <w:sz w:val="24"/>
          <w:szCs w:val="24"/>
        </w:rPr>
        <w:t xml:space="preserve">para toda la economía. </w:t>
      </w:r>
    </w:p>
    <w:p w14:paraId="4CF9448C" w14:textId="14D078F8" w:rsidR="003A148B" w:rsidRPr="00111B9F" w:rsidRDefault="00D718A4" w:rsidP="00111B9F">
      <w:pPr>
        <w:pStyle w:val="Ttulo2"/>
      </w:pPr>
      <w:bookmarkStart w:id="2" w:name="_Toc470081846"/>
      <w:r w:rsidRPr="00111B9F">
        <w:t xml:space="preserve">Los vínculos entre </w:t>
      </w:r>
      <w:r w:rsidR="00F94C83" w:rsidRPr="00111B9F">
        <w:t>innovación</w:t>
      </w:r>
      <w:r w:rsidR="003A148B" w:rsidRPr="00111B9F">
        <w:t>, I+D, productividad y crecimiento</w:t>
      </w:r>
      <w:bookmarkEnd w:id="2"/>
    </w:p>
    <w:p w14:paraId="5FAB2883" w14:textId="77777777" w:rsidR="00B87DB5" w:rsidRDefault="000D6E09" w:rsidP="007F26B1">
      <w:pPr>
        <w:jc w:val="both"/>
        <w:rPr>
          <w:rFonts w:ascii="Times New Roman" w:hAnsi="Times New Roman" w:cs="Times New Roman"/>
          <w:sz w:val="24"/>
          <w:szCs w:val="24"/>
        </w:rPr>
      </w:pPr>
      <w:proofErr w:type="spellStart"/>
      <w:r w:rsidRPr="006A0175">
        <w:rPr>
          <w:rFonts w:ascii="Times New Roman" w:hAnsi="Times New Roman" w:cs="Times New Roman"/>
          <w:sz w:val="24"/>
          <w:szCs w:val="24"/>
        </w:rPr>
        <w:t>Schumpeter</w:t>
      </w:r>
      <w:proofErr w:type="spellEnd"/>
      <w:r w:rsidRPr="006A0175">
        <w:rPr>
          <w:rFonts w:ascii="Times New Roman" w:hAnsi="Times New Roman" w:cs="Times New Roman"/>
          <w:sz w:val="24"/>
          <w:szCs w:val="24"/>
        </w:rPr>
        <w:t xml:space="preserve"> en su famoso libro de 1911</w:t>
      </w:r>
      <w:r w:rsidR="00805464" w:rsidRPr="006A0175">
        <w:rPr>
          <w:rStyle w:val="Refdenotaalpie"/>
          <w:rFonts w:ascii="Times New Roman" w:hAnsi="Times New Roman" w:cs="Times New Roman"/>
          <w:sz w:val="24"/>
          <w:szCs w:val="24"/>
        </w:rPr>
        <w:footnoteReference w:id="5"/>
      </w:r>
      <w:r w:rsidRPr="006A0175">
        <w:rPr>
          <w:rFonts w:ascii="Times New Roman" w:hAnsi="Times New Roman" w:cs="Times New Roman"/>
          <w:sz w:val="24"/>
          <w:szCs w:val="24"/>
        </w:rPr>
        <w:t xml:space="preserve"> </w:t>
      </w:r>
      <w:r w:rsidR="00805464" w:rsidRPr="006A0175">
        <w:rPr>
          <w:rFonts w:ascii="Times New Roman" w:hAnsi="Times New Roman" w:cs="Times New Roman"/>
          <w:sz w:val="24"/>
          <w:szCs w:val="24"/>
        </w:rPr>
        <w:t xml:space="preserve"> </w:t>
      </w:r>
      <w:r w:rsidR="001C090B">
        <w:rPr>
          <w:rFonts w:ascii="Times New Roman" w:hAnsi="Times New Roman" w:cs="Times New Roman"/>
          <w:sz w:val="24"/>
          <w:szCs w:val="24"/>
        </w:rPr>
        <w:t>expuso que la innovación es</w:t>
      </w:r>
      <w:r w:rsidRPr="006A0175">
        <w:rPr>
          <w:rFonts w:ascii="Times New Roman" w:hAnsi="Times New Roman" w:cs="Times New Roman"/>
          <w:sz w:val="24"/>
          <w:szCs w:val="24"/>
        </w:rPr>
        <w:t xml:space="preserve"> la fuerza motriz capaz de </w:t>
      </w:r>
      <w:r w:rsidR="00B83FDD" w:rsidRPr="006A0175">
        <w:rPr>
          <w:rFonts w:ascii="Times New Roman" w:hAnsi="Times New Roman" w:cs="Times New Roman"/>
          <w:sz w:val="24"/>
          <w:szCs w:val="24"/>
        </w:rPr>
        <w:t>impulsa</w:t>
      </w:r>
      <w:r w:rsidRPr="006A0175">
        <w:rPr>
          <w:rFonts w:ascii="Times New Roman" w:hAnsi="Times New Roman" w:cs="Times New Roman"/>
          <w:sz w:val="24"/>
          <w:szCs w:val="24"/>
        </w:rPr>
        <w:t>r</w:t>
      </w:r>
      <w:r w:rsidR="00B83FDD" w:rsidRPr="006A0175">
        <w:rPr>
          <w:rFonts w:ascii="Times New Roman" w:hAnsi="Times New Roman" w:cs="Times New Roman"/>
          <w:sz w:val="24"/>
          <w:szCs w:val="24"/>
        </w:rPr>
        <w:t xml:space="preserve"> el proceso de</w:t>
      </w:r>
      <w:r w:rsidRPr="006A0175">
        <w:rPr>
          <w:rFonts w:ascii="Times New Roman" w:hAnsi="Times New Roman" w:cs="Times New Roman"/>
          <w:sz w:val="24"/>
          <w:szCs w:val="24"/>
        </w:rPr>
        <w:t xml:space="preserve"> desarrollo </w:t>
      </w:r>
      <w:r w:rsidR="00DA5287" w:rsidRPr="006A0175">
        <w:rPr>
          <w:rFonts w:ascii="Times New Roman" w:hAnsi="Times New Roman" w:cs="Times New Roman"/>
          <w:sz w:val="24"/>
          <w:szCs w:val="24"/>
        </w:rPr>
        <w:t xml:space="preserve">económico </w:t>
      </w:r>
      <w:r w:rsidRPr="006A0175">
        <w:rPr>
          <w:rFonts w:ascii="Times New Roman" w:hAnsi="Times New Roman" w:cs="Times New Roman"/>
          <w:sz w:val="24"/>
          <w:szCs w:val="24"/>
        </w:rPr>
        <w:t xml:space="preserve">de los países en el </w:t>
      </w:r>
      <w:r w:rsidR="00B83FDD" w:rsidRPr="006A0175">
        <w:rPr>
          <w:rFonts w:ascii="Times New Roman" w:hAnsi="Times New Roman" w:cs="Times New Roman"/>
          <w:sz w:val="24"/>
          <w:szCs w:val="24"/>
        </w:rPr>
        <w:t xml:space="preserve">largo plazo. </w:t>
      </w:r>
      <w:r w:rsidRPr="006A0175">
        <w:rPr>
          <w:rFonts w:ascii="Times New Roman" w:hAnsi="Times New Roman" w:cs="Times New Roman"/>
          <w:sz w:val="24"/>
          <w:szCs w:val="24"/>
        </w:rPr>
        <w:t>La innovación</w:t>
      </w:r>
      <w:r w:rsidR="007F26B1" w:rsidRPr="006A0175">
        <w:rPr>
          <w:rFonts w:ascii="Times New Roman" w:hAnsi="Times New Roman" w:cs="Times New Roman"/>
          <w:sz w:val="24"/>
          <w:szCs w:val="24"/>
        </w:rPr>
        <w:t>, en esa época,</w:t>
      </w:r>
      <w:r w:rsidRPr="006A0175">
        <w:rPr>
          <w:rFonts w:ascii="Times New Roman" w:hAnsi="Times New Roman" w:cs="Times New Roman"/>
          <w:sz w:val="24"/>
          <w:szCs w:val="24"/>
        </w:rPr>
        <w:t xml:space="preserve"> era comprendida </w:t>
      </w:r>
      <w:r w:rsidR="00B83FDD" w:rsidRPr="006A0175">
        <w:rPr>
          <w:rFonts w:ascii="Times New Roman" w:hAnsi="Times New Roman" w:cs="Times New Roman"/>
          <w:sz w:val="24"/>
          <w:szCs w:val="24"/>
        </w:rPr>
        <w:t>como el surgimiento de nuevas funcione</w:t>
      </w:r>
      <w:r w:rsidRPr="006A0175">
        <w:rPr>
          <w:rFonts w:ascii="Times New Roman" w:hAnsi="Times New Roman" w:cs="Times New Roman"/>
          <w:sz w:val="24"/>
          <w:szCs w:val="24"/>
        </w:rPr>
        <w:t xml:space="preserve">s de producción, </w:t>
      </w:r>
      <w:r w:rsidR="00B83FDD" w:rsidRPr="006A0175">
        <w:rPr>
          <w:rFonts w:ascii="Times New Roman" w:hAnsi="Times New Roman" w:cs="Times New Roman"/>
          <w:sz w:val="24"/>
          <w:szCs w:val="24"/>
        </w:rPr>
        <w:t>nuevos mercados y nuevos med</w:t>
      </w:r>
      <w:r w:rsidR="00805464" w:rsidRPr="006A0175">
        <w:rPr>
          <w:rFonts w:ascii="Times New Roman" w:hAnsi="Times New Roman" w:cs="Times New Roman"/>
          <w:sz w:val="24"/>
          <w:szCs w:val="24"/>
        </w:rPr>
        <w:t>ios de transporte, que alimentaban</w:t>
      </w:r>
      <w:r w:rsidR="00B83FDD" w:rsidRPr="006A0175">
        <w:rPr>
          <w:rFonts w:ascii="Times New Roman" w:hAnsi="Times New Roman" w:cs="Times New Roman"/>
          <w:sz w:val="24"/>
          <w:szCs w:val="24"/>
        </w:rPr>
        <w:t xml:space="preserve"> el pro</w:t>
      </w:r>
      <w:r w:rsidR="007746A0" w:rsidRPr="006A0175">
        <w:rPr>
          <w:rFonts w:ascii="Times New Roman" w:hAnsi="Times New Roman" w:cs="Times New Roman"/>
          <w:sz w:val="24"/>
          <w:szCs w:val="24"/>
        </w:rPr>
        <w:t xml:space="preserve">ceso de </w:t>
      </w:r>
      <w:r w:rsidRPr="006A0175">
        <w:rPr>
          <w:rFonts w:ascii="Times New Roman" w:hAnsi="Times New Roman" w:cs="Times New Roman"/>
          <w:sz w:val="24"/>
          <w:szCs w:val="24"/>
        </w:rPr>
        <w:t xml:space="preserve">destrucción </w:t>
      </w:r>
      <w:r w:rsidR="000529A2" w:rsidRPr="006A0175">
        <w:rPr>
          <w:rFonts w:ascii="Times New Roman" w:hAnsi="Times New Roman" w:cs="Times New Roman"/>
          <w:sz w:val="24"/>
          <w:szCs w:val="24"/>
        </w:rPr>
        <w:t>creativa</w:t>
      </w:r>
      <w:r w:rsidR="00805464" w:rsidRPr="006A0175">
        <w:rPr>
          <w:rStyle w:val="Refdenotaalpie"/>
          <w:rFonts w:ascii="Times New Roman" w:hAnsi="Times New Roman" w:cs="Times New Roman"/>
          <w:sz w:val="24"/>
          <w:szCs w:val="24"/>
        </w:rPr>
        <w:footnoteReference w:id="6"/>
      </w:r>
      <w:r w:rsidRPr="006A0175">
        <w:rPr>
          <w:rFonts w:ascii="Times New Roman" w:hAnsi="Times New Roman" w:cs="Times New Roman"/>
          <w:sz w:val="24"/>
          <w:szCs w:val="24"/>
        </w:rPr>
        <w:t xml:space="preserve">. </w:t>
      </w:r>
      <w:r w:rsidR="00B83FDD" w:rsidRPr="006A0175">
        <w:rPr>
          <w:rFonts w:ascii="Times New Roman" w:hAnsi="Times New Roman" w:cs="Times New Roman"/>
          <w:sz w:val="24"/>
          <w:szCs w:val="24"/>
        </w:rPr>
        <w:t>Más aún, la fuente de este proceso, que en los primeros tr</w:t>
      </w:r>
      <w:r w:rsidR="00CD593F" w:rsidRPr="006A0175">
        <w:rPr>
          <w:rFonts w:ascii="Times New Roman" w:hAnsi="Times New Roman" w:cs="Times New Roman"/>
          <w:sz w:val="24"/>
          <w:szCs w:val="24"/>
        </w:rPr>
        <w:t xml:space="preserve">abajos del </w:t>
      </w:r>
      <w:r w:rsidRPr="006A0175">
        <w:rPr>
          <w:rFonts w:ascii="Times New Roman" w:hAnsi="Times New Roman" w:cs="Times New Roman"/>
          <w:sz w:val="24"/>
          <w:szCs w:val="24"/>
        </w:rPr>
        <w:t xml:space="preserve">autor </w:t>
      </w:r>
      <w:r w:rsidR="00B83FDD" w:rsidRPr="006A0175">
        <w:rPr>
          <w:rFonts w:ascii="Times New Roman" w:hAnsi="Times New Roman" w:cs="Times New Roman"/>
          <w:sz w:val="24"/>
          <w:szCs w:val="24"/>
        </w:rPr>
        <w:t>dependía del genio individual de un cierto tipo de empresario (e</w:t>
      </w:r>
      <w:r w:rsidRPr="006A0175">
        <w:rPr>
          <w:rFonts w:ascii="Times New Roman" w:hAnsi="Times New Roman" w:cs="Times New Roman"/>
          <w:sz w:val="24"/>
          <w:szCs w:val="24"/>
        </w:rPr>
        <w:t xml:space="preserve">l empresario innovador), con el </w:t>
      </w:r>
      <w:r w:rsidR="00B83FDD" w:rsidRPr="006A0175">
        <w:rPr>
          <w:rFonts w:ascii="Times New Roman" w:hAnsi="Times New Roman" w:cs="Times New Roman"/>
          <w:sz w:val="24"/>
          <w:szCs w:val="24"/>
        </w:rPr>
        <w:t>pasar del tiempo se vuelve endógena a las grandes empresas. Se i</w:t>
      </w:r>
      <w:r w:rsidRPr="006A0175">
        <w:rPr>
          <w:rFonts w:ascii="Times New Roman" w:hAnsi="Times New Roman" w:cs="Times New Roman"/>
          <w:sz w:val="24"/>
          <w:szCs w:val="24"/>
        </w:rPr>
        <w:t xml:space="preserve">nstauran en ellas departamentos </w:t>
      </w:r>
      <w:r w:rsidR="00B83FDD" w:rsidRPr="006A0175">
        <w:rPr>
          <w:rFonts w:ascii="Times New Roman" w:hAnsi="Times New Roman" w:cs="Times New Roman"/>
          <w:sz w:val="24"/>
          <w:szCs w:val="24"/>
        </w:rPr>
        <w:t>de investigación y desarrollo (I+D) que sistemáticamente generan</w:t>
      </w:r>
      <w:r w:rsidR="007F26B1" w:rsidRPr="006A0175">
        <w:rPr>
          <w:rFonts w:ascii="Times New Roman" w:hAnsi="Times New Roman" w:cs="Times New Roman"/>
          <w:sz w:val="24"/>
          <w:szCs w:val="24"/>
        </w:rPr>
        <w:t xml:space="preserve"> innovaciones</w:t>
      </w:r>
      <w:r w:rsidRPr="006A0175">
        <w:rPr>
          <w:rFonts w:ascii="Times New Roman" w:hAnsi="Times New Roman" w:cs="Times New Roman"/>
          <w:sz w:val="24"/>
          <w:szCs w:val="24"/>
        </w:rPr>
        <w:t xml:space="preserve"> como parte de la </w:t>
      </w:r>
      <w:r w:rsidR="00B83FDD" w:rsidRPr="006A0175">
        <w:rPr>
          <w:rFonts w:ascii="Times New Roman" w:hAnsi="Times New Roman" w:cs="Times New Roman"/>
          <w:sz w:val="24"/>
          <w:szCs w:val="24"/>
        </w:rPr>
        <w:t>búsqueda permanente por crear ventajas competitivas</w:t>
      </w:r>
      <w:r w:rsidR="007F26B1" w:rsidRPr="006A0175">
        <w:rPr>
          <w:rFonts w:ascii="Times New Roman" w:hAnsi="Times New Roman" w:cs="Times New Roman"/>
          <w:sz w:val="24"/>
          <w:szCs w:val="24"/>
        </w:rPr>
        <w:t>, lo cual produce al mismo tiempo, cambios tecnológicos que permean estructuras y procesos productivos</w:t>
      </w:r>
      <w:r w:rsidRPr="006A0175">
        <w:rPr>
          <w:rFonts w:ascii="Times New Roman" w:hAnsi="Times New Roman" w:cs="Times New Roman"/>
          <w:sz w:val="24"/>
          <w:szCs w:val="24"/>
        </w:rPr>
        <w:t xml:space="preserve"> </w:t>
      </w:r>
      <w:r w:rsidR="00B87DB5">
        <w:rPr>
          <w:rFonts w:ascii="Times New Roman" w:hAnsi="Times New Roman" w:cs="Times New Roman"/>
          <w:sz w:val="24"/>
          <w:szCs w:val="24"/>
        </w:rPr>
        <w:t>en la economía como un agregado.</w:t>
      </w:r>
    </w:p>
    <w:p w14:paraId="79A3F559" w14:textId="3DEE1170" w:rsidR="007F26B1" w:rsidRPr="006A0175" w:rsidRDefault="007F26B1" w:rsidP="007F26B1">
      <w:pPr>
        <w:jc w:val="both"/>
        <w:rPr>
          <w:rFonts w:ascii="Times New Roman" w:hAnsi="Times New Roman" w:cs="Times New Roman"/>
          <w:sz w:val="24"/>
          <w:szCs w:val="24"/>
        </w:rPr>
      </w:pPr>
      <w:r w:rsidRPr="006A0175">
        <w:rPr>
          <w:rFonts w:ascii="Times New Roman" w:hAnsi="Times New Roman" w:cs="Times New Roman"/>
          <w:sz w:val="24"/>
          <w:szCs w:val="24"/>
        </w:rPr>
        <w:t xml:space="preserve">Hoy en día es ineludible que el </w:t>
      </w:r>
      <w:r w:rsidR="000529A2" w:rsidRPr="006A0175">
        <w:rPr>
          <w:rFonts w:ascii="Times New Roman" w:hAnsi="Times New Roman" w:cs="Times New Roman"/>
          <w:sz w:val="24"/>
          <w:szCs w:val="24"/>
        </w:rPr>
        <w:t xml:space="preserve">mecanismo básico </w:t>
      </w:r>
      <w:r w:rsidRPr="006A0175">
        <w:rPr>
          <w:rFonts w:ascii="Times New Roman" w:hAnsi="Times New Roman" w:cs="Times New Roman"/>
          <w:sz w:val="24"/>
          <w:szCs w:val="24"/>
        </w:rPr>
        <w:t>impulsor</w:t>
      </w:r>
      <w:r w:rsidR="000529A2" w:rsidRPr="006A0175">
        <w:rPr>
          <w:rFonts w:ascii="Times New Roman" w:hAnsi="Times New Roman" w:cs="Times New Roman"/>
          <w:sz w:val="24"/>
          <w:szCs w:val="24"/>
        </w:rPr>
        <w:t xml:space="preserve"> </w:t>
      </w:r>
      <w:r w:rsidRPr="006A0175">
        <w:rPr>
          <w:rFonts w:ascii="Times New Roman" w:hAnsi="Times New Roman" w:cs="Times New Roman"/>
          <w:sz w:val="24"/>
          <w:szCs w:val="24"/>
        </w:rPr>
        <w:t>d</w:t>
      </w:r>
      <w:r w:rsidR="000529A2" w:rsidRPr="006A0175">
        <w:rPr>
          <w:rFonts w:ascii="Times New Roman" w:hAnsi="Times New Roman" w:cs="Times New Roman"/>
          <w:sz w:val="24"/>
          <w:szCs w:val="24"/>
        </w:rPr>
        <w:t>el crecimiento económico en las economías de mercado modernas es la reestructuración y reasignación de factores microeconómicos</w:t>
      </w:r>
      <w:r w:rsidR="000714EE" w:rsidRPr="006A0175">
        <w:rPr>
          <w:rFonts w:ascii="Times New Roman" w:hAnsi="Times New Roman" w:cs="Times New Roman"/>
          <w:sz w:val="24"/>
          <w:szCs w:val="24"/>
        </w:rPr>
        <w:t xml:space="preserve"> (destrucción creativa) en las cuales</w:t>
      </w:r>
      <w:r w:rsidR="000529A2" w:rsidRPr="006A0175">
        <w:rPr>
          <w:rFonts w:ascii="Times New Roman" w:hAnsi="Times New Roman" w:cs="Times New Roman"/>
          <w:sz w:val="24"/>
          <w:szCs w:val="24"/>
        </w:rPr>
        <w:t xml:space="preserve"> las nuevas tecnologías sustituyen a la</w:t>
      </w:r>
      <w:r w:rsidR="000714EE" w:rsidRPr="006A0175">
        <w:rPr>
          <w:rFonts w:ascii="Times New Roman" w:hAnsi="Times New Roman" w:cs="Times New Roman"/>
          <w:sz w:val="24"/>
          <w:szCs w:val="24"/>
        </w:rPr>
        <w:t>s</w:t>
      </w:r>
      <w:r w:rsidR="000529A2" w:rsidRPr="006A0175">
        <w:rPr>
          <w:rFonts w:ascii="Times New Roman" w:hAnsi="Times New Roman" w:cs="Times New Roman"/>
          <w:sz w:val="24"/>
          <w:szCs w:val="24"/>
        </w:rPr>
        <w:t xml:space="preserve"> antigua</w:t>
      </w:r>
      <w:r w:rsidR="000714EE" w:rsidRPr="006A0175">
        <w:rPr>
          <w:rFonts w:ascii="Times New Roman" w:hAnsi="Times New Roman" w:cs="Times New Roman"/>
          <w:sz w:val="24"/>
          <w:szCs w:val="24"/>
        </w:rPr>
        <w:t>s</w:t>
      </w:r>
      <w:r w:rsidR="00805464" w:rsidRPr="006A0175">
        <w:rPr>
          <w:rFonts w:ascii="Times New Roman" w:hAnsi="Times New Roman" w:cs="Times New Roman"/>
          <w:sz w:val="24"/>
          <w:szCs w:val="24"/>
        </w:rPr>
        <w:t>, permeando aspectos mayore</w:t>
      </w:r>
      <w:r w:rsidR="00DB29AB">
        <w:rPr>
          <w:rFonts w:ascii="Times New Roman" w:hAnsi="Times New Roman" w:cs="Times New Roman"/>
          <w:sz w:val="24"/>
          <w:szCs w:val="24"/>
        </w:rPr>
        <w:t xml:space="preserve">s del desempeño macroeconómico, </w:t>
      </w:r>
      <w:r w:rsidR="00805464" w:rsidRPr="006A0175">
        <w:rPr>
          <w:rFonts w:ascii="Times New Roman" w:hAnsi="Times New Roman" w:cs="Times New Roman"/>
          <w:sz w:val="24"/>
          <w:szCs w:val="24"/>
        </w:rPr>
        <w:t>no únicamente sostener una tasa de crecimiento e</w:t>
      </w:r>
      <w:r w:rsidR="007746A0" w:rsidRPr="006A0175">
        <w:rPr>
          <w:rFonts w:ascii="Times New Roman" w:hAnsi="Times New Roman" w:cs="Times New Roman"/>
          <w:sz w:val="24"/>
          <w:szCs w:val="24"/>
        </w:rPr>
        <w:t>n el largo plazo, sino ciclos económicos</w:t>
      </w:r>
      <w:r w:rsidR="00805464" w:rsidRPr="006A0175">
        <w:rPr>
          <w:rFonts w:ascii="Times New Roman" w:hAnsi="Times New Roman" w:cs="Times New Roman"/>
          <w:sz w:val="24"/>
          <w:szCs w:val="24"/>
        </w:rPr>
        <w:t xml:space="preserve">, ajustes estructurales, el funcionamiento de las mercados de </w:t>
      </w:r>
      <w:r w:rsidR="007746A0" w:rsidRPr="006A0175">
        <w:rPr>
          <w:rFonts w:ascii="Times New Roman" w:hAnsi="Times New Roman" w:cs="Times New Roman"/>
          <w:sz w:val="24"/>
          <w:szCs w:val="24"/>
        </w:rPr>
        <w:t>factores</w:t>
      </w:r>
      <w:r w:rsidR="00805464" w:rsidRPr="006A0175">
        <w:rPr>
          <w:rFonts w:ascii="Times New Roman" w:hAnsi="Times New Roman" w:cs="Times New Roman"/>
          <w:sz w:val="24"/>
          <w:szCs w:val="24"/>
        </w:rPr>
        <w:t>, entre otros (Caballero, 2007</w:t>
      </w:r>
      <w:r w:rsidR="00CB5A30" w:rsidRPr="006A0175">
        <w:rPr>
          <w:rFonts w:ascii="Times New Roman" w:hAnsi="Times New Roman" w:cs="Times New Roman"/>
          <w:sz w:val="24"/>
          <w:szCs w:val="24"/>
        </w:rPr>
        <w:t xml:space="preserve">; </w:t>
      </w:r>
      <w:proofErr w:type="spellStart"/>
      <w:r w:rsidR="00CB5A30" w:rsidRPr="006A0175">
        <w:rPr>
          <w:rFonts w:ascii="Times New Roman" w:hAnsi="Times New Roman" w:cs="Times New Roman"/>
          <w:sz w:val="24"/>
          <w:szCs w:val="24"/>
        </w:rPr>
        <w:t>Dosi</w:t>
      </w:r>
      <w:proofErr w:type="spellEnd"/>
      <w:r w:rsidR="00CB5A30" w:rsidRPr="006A0175">
        <w:rPr>
          <w:rFonts w:ascii="Times New Roman" w:hAnsi="Times New Roman" w:cs="Times New Roman"/>
          <w:sz w:val="24"/>
          <w:szCs w:val="24"/>
        </w:rPr>
        <w:t xml:space="preserve">, </w:t>
      </w:r>
      <w:proofErr w:type="spellStart"/>
      <w:r w:rsidR="00CB5A30" w:rsidRPr="006A0175">
        <w:rPr>
          <w:rFonts w:ascii="Times New Roman" w:hAnsi="Times New Roman" w:cs="Times New Roman"/>
          <w:sz w:val="24"/>
          <w:szCs w:val="24"/>
        </w:rPr>
        <w:t>Fagiolo</w:t>
      </w:r>
      <w:proofErr w:type="spellEnd"/>
      <w:r w:rsidR="00CB5A30" w:rsidRPr="006A0175">
        <w:rPr>
          <w:rFonts w:ascii="Times New Roman" w:hAnsi="Times New Roman" w:cs="Times New Roman"/>
          <w:sz w:val="24"/>
          <w:szCs w:val="24"/>
        </w:rPr>
        <w:t xml:space="preserve"> y </w:t>
      </w:r>
      <w:proofErr w:type="spellStart"/>
      <w:r w:rsidR="00CB5A30" w:rsidRPr="006A0175">
        <w:rPr>
          <w:rFonts w:ascii="Times New Roman" w:hAnsi="Times New Roman" w:cs="Times New Roman"/>
          <w:sz w:val="24"/>
          <w:szCs w:val="24"/>
        </w:rPr>
        <w:t>Roventini</w:t>
      </w:r>
      <w:proofErr w:type="spellEnd"/>
      <w:r w:rsidR="00CB5A30" w:rsidRPr="006A0175">
        <w:rPr>
          <w:rFonts w:ascii="Times New Roman" w:hAnsi="Times New Roman" w:cs="Times New Roman"/>
          <w:sz w:val="24"/>
          <w:szCs w:val="24"/>
        </w:rPr>
        <w:t>, 2010</w:t>
      </w:r>
      <w:r w:rsidR="00805464" w:rsidRPr="006A0175">
        <w:rPr>
          <w:rFonts w:ascii="Times New Roman" w:hAnsi="Times New Roman" w:cs="Times New Roman"/>
          <w:sz w:val="24"/>
          <w:szCs w:val="24"/>
        </w:rPr>
        <w:t>).</w:t>
      </w:r>
      <w:r w:rsidR="00425820" w:rsidRPr="006A0175">
        <w:rPr>
          <w:rFonts w:ascii="Times New Roman" w:hAnsi="Times New Roman" w:cs="Times New Roman"/>
          <w:sz w:val="24"/>
          <w:szCs w:val="24"/>
        </w:rPr>
        <w:t xml:space="preserve"> </w:t>
      </w:r>
    </w:p>
    <w:p w14:paraId="71701C91" w14:textId="48CF87D2" w:rsidR="00CB5A30" w:rsidRPr="006A0175" w:rsidRDefault="00CB5A30" w:rsidP="00CB5A30">
      <w:pPr>
        <w:jc w:val="both"/>
        <w:rPr>
          <w:rFonts w:ascii="Times New Roman" w:hAnsi="Times New Roman" w:cs="Times New Roman"/>
          <w:sz w:val="24"/>
          <w:szCs w:val="24"/>
          <w:lang w:val="es-CL"/>
        </w:rPr>
      </w:pPr>
      <w:r w:rsidRPr="006A0175">
        <w:rPr>
          <w:rFonts w:ascii="Times New Roman" w:hAnsi="Times New Roman" w:cs="Times New Roman"/>
          <w:sz w:val="24"/>
          <w:szCs w:val="24"/>
        </w:rPr>
        <w:t xml:space="preserve">Entendiendo entonces la innovación </w:t>
      </w:r>
      <w:r w:rsidR="00613FB3" w:rsidRPr="006A0175">
        <w:rPr>
          <w:rFonts w:ascii="Times New Roman" w:hAnsi="Times New Roman" w:cs="Times New Roman"/>
          <w:sz w:val="24"/>
          <w:szCs w:val="24"/>
        </w:rPr>
        <w:t xml:space="preserve">y el cambio tecnológico </w:t>
      </w:r>
      <w:r w:rsidRPr="006A0175">
        <w:rPr>
          <w:rFonts w:ascii="Times New Roman" w:hAnsi="Times New Roman" w:cs="Times New Roman"/>
          <w:sz w:val="24"/>
          <w:szCs w:val="24"/>
        </w:rPr>
        <w:t xml:space="preserve">como </w:t>
      </w:r>
      <w:r w:rsidR="00450D4C" w:rsidRPr="006A0175">
        <w:rPr>
          <w:rFonts w:ascii="Times New Roman" w:hAnsi="Times New Roman" w:cs="Times New Roman"/>
          <w:sz w:val="24"/>
          <w:szCs w:val="24"/>
        </w:rPr>
        <w:t>pieza</w:t>
      </w:r>
      <w:r w:rsidR="00613FB3" w:rsidRPr="006A0175">
        <w:rPr>
          <w:rFonts w:ascii="Times New Roman" w:hAnsi="Times New Roman" w:cs="Times New Roman"/>
          <w:sz w:val="24"/>
          <w:szCs w:val="24"/>
        </w:rPr>
        <w:t>s</w:t>
      </w:r>
      <w:r w:rsidR="00450D4C" w:rsidRPr="006A0175">
        <w:rPr>
          <w:rFonts w:ascii="Times New Roman" w:hAnsi="Times New Roman" w:cs="Times New Roman"/>
          <w:sz w:val="24"/>
          <w:szCs w:val="24"/>
        </w:rPr>
        <w:t xml:space="preserve"> clave </w:t>
      </w:r>
      <w:r w:rsidR="001C090B">
        <w:rPr>
          <w:rFonts w:ascii="Times New Roman" w:hAnsi="Times New Roman" w:cs="Times New Roman"/>
          <w:sz w:val="24"/>
          <w:szCs w:val="24"/>
        </w:rPr>
        <w:t>de la economía moderna</w:t>
      </w:r>
      <w:r w:rsidRPr="006A0175">
        <w:rPr>
          <w:rFonts w:ascii="Times New Roman" w:hAnsi="Times New Roman" w:cs="Times New Roman"/>
          <w:sz w:val="24"/>
          <w:szCs w:val="24"/>
        </w:rPr>
        <w:t xml:space="preserve">, lo relevante es comprender los vínculos entre innovación, I+D, productividad y crecimiento. La relación entre I+D y productividad ha sido un tópico de investigación durante años, llegando los investigadores a la conclusión que dependiendo de </w:t>
      </w:r>
      <w:r w:rsidRPr="006A0175">
        <w:rPr>
          <w:rFonts w:ascii="Times New Roman" w:hAnsi="Times New Roman" w:cs="Times New Roman"/>
          <w:sz w:val="24"/>
          <w:szCs w:val="24"/>
        </w:rPr>
        <w:lastRenderedPageBreak/>
        <w:t>la riqueza de los países existe retornos significativos, aunque decrecientes, de la inversión en I+D sobre la productividad</w:t>
      </w:r>
      <w:r w:rsidR="00385817" w:rsidRPr="006A0175">
        <w:rPr>
          <w:rFonts w:ascii="Times New Roman" w:hAnsi="Times New Roman" w:cs="Times New Roman"/>
          <w:sz w:val="24"/>
          <w:szCs w:val="24"/>
        </w:rPr>
        <w:t xml:space="preserve">. Por </w:t>
      </w:r>
      <w:r w:rsidR="00040C34" w:rsidRPr="006A0175">
        <w:rPr>
          <w:rFonts w:ascii="Times New Roman" w:hAnsi="Times New Roman" w:cs="Times New Roman"/>
          <w:sz w:val="24"/>
          <w:szCs w:val="24"/>
        </w:rPr>
        <w:t>consiguiente,</w:t>
      </w:r>
      <w:r w:rsidR="00385817" w:rsidRPr="006A0175">
        <w:rPr>
          <w:rFonts w:ascii="Times New Roman" w:hAnsi="Times New Roman" w:cs="Times New Roman"/>
          <w:sz w:val="24"/>
          <w:szCs w:val="24"/>
        </w:rPr>
        <w:t xml:space="preserve"> </w:t>
      </w:r>
      <w:r w:rsidR="00450D4C" w:rsidRPr="006A0175">
        <w:rPr>
          <w:rFonts w:ascii="Times New Roman" w:hAnsi="Times New Roman" w:cs="Times New Roman"/>
          <w:sz w:val="24"/>
          <w:szCs w:val="24"/>
        </w:rPr>
        <w:t>el componente estocástico</w:t>
      </w:r>
      <w:r w:rsidRPr="006A0175">
        <w:rPr>
          <w:rFonts w:ascii="Times New Roman" w:hAnsi="Times New Roman" w:cs="Times New Roman"/>
          <w:sz w:val="24"/>
          <w:szCs w:val="24"/>
        </w:rPr>
        <w:t xml:space="preserve"> de la I+D implica</w:t>
      </w:r>
      <w:r w:rsidR="00385817" w:rsidRPr="006A0175">
        <w:rPr>
          <w:rFonts w:ascii="Times New Roman" w:hAnsi="Times New Roman" w:cs="Times New Roman"/>
          <w:sz w:val="24"/>
          <w:szCs w:val="24"/>
        </w:rPr>
        <w:t>ría</w:t>
      </w:r>
      <w:r w:rsidRPr="006A0175">
        <w:rPr>
          <w:rFonts w:ascii="Times New Roman" w:hAnsi="Times New Roman" w:cs="Times New Roman"/>
          <w:sz w:val="24"/>
          <w:szCs w:val="24"/>
        </w:rPr>
        <w:t xml:space="preserve"> una tasa de retorno </w:t>
      </w:r>
      <w:r w:rsidR="00385817" w:rsidRPr="006A0175">
        <w:rPr>
          <w:rFonts w:ascii="Times New Roman" w:hAnsi="Times New Roman" w:cs="Times New Roman"/>
          <w:sz w:val="24"/>
          <w:szCs w:val="24"/>
        </w:rPr>
        <w:t xml:space="preserve">sumamente variable </w:t>
      </w:r>
      <w:r w:rsidRPr="006A0175">
        <w:rPr>
          <w:rFonts w:ascii="Times New Roman" w:hAnsi="Times New Roman" w:cs="Times New Roman"/>
          <w:sz w:val="24"/>
          <w:szCs w:val="24"/>
        </w:rPr>
        <w:t>a la productividad (</w:t>
      </w:r>
      <w:r w:rsidRPr="006A0175">
        <w:rPr>
          <w:rFonts w:ascii="Times New Roman" w:hAnsi="Times New Roman" w:cs="Times New Roman"/>
          <w:sz w:val="24"/>
          <w:szCs w:val="24"/>
          <w:lang w:val="es-CL"/>
        </w:rPr>
        <w:t xml:space="preserve">Hall, </w:t>
      </w:r>
      <w:proofErr w:type="spellStart"/>
      <w:r w:rsidRPr="006A0175">
        <w:rPr>
          <w:rFonts w:ascii="Times New Roman" w:hAnsi="Times New Roman" w:cs="Times New Roman"/>
          <w:sz w:val="24"/>
          <w:szCs w:val="24"/>
          <w:lang w:val="es-CL"/>
        </w:rPr>
        <w:t>Mairesse</w:t>
      </w:r>
      <w:proofErr w:type="spellEnd"/>
      <w:r w:rsidRPr="006A0175">
        <w:rPr>
          <w:rFonts w:ascii="Times New Roman" w:hAnsi="Times New Roman" w:cs="Times New Roman"/>
          <w:sz w:val="24"/>
          <w:szCs w:val="24"/>
          <w:lang w:val="es-CL"/>
        </w:rPr>
        <w:t xml:space="preserve"> y </w:t>
      </w:r>
      <w:proofErr w:type="spellStart"/>
      <w:r w:rsidRPr="006A0175">
        <w:rPr>
          <w:rFonts w:ascii="Times New Roman" w:hAnsi="Times New Roman" w:cs="Times New Roman"/>
          <w:sz w:val="24"/>
          <w:szCs w:val="24"/>
          <w:lang w:val="es-CL"/>
        </w:rPr>
        <w:t>Mohnen</w:t>
      </w:r>
      <w:proofErr w:type="spellEnd"/>
      <w:r w:rsidRPr="006A0175">
        <w:rPr>
          <w:rFonts w:ascii="Times New Roman" w:hAnsi="Times New Roman" w:cs="Times New Roman"/>
          <w:sz w:val="24"/>
          <w:szCs w:val="24"/>
          <w:lang w:val="es-CL"/>
        </w:rPr>
        <w:t>, 2010).</w:t>
      </w:r>
    </w:p>
    <w:p w14:paraId="394A01D3" w14:textId="6AD8C6B8" w:rsidR="000F4F54" w:rsidRPr="006A0175" w:rsidRDefault="00CB5A30" w:rsidP="00547D5D">
      <w:pPr>
        <w:jc w:val="both"/>
        <w:rPr>
          <w:rFonts w:ascii="Times New Roman" w:hAnsi="Times New Roman" w:cs="Times New Roman"/>
          <w:sz w:val="24"/>
          <w:szCs w:val="24"/>
        </w:rPr>
      </w:pPr>
      <w:r w:rsidRPr="006A0175">
        <w:rPr>
          <w:rFonts w:ascii="Times New Roman" w:hAnsi="Times New Roman" w:cs="Times New Roman"/>
          <w:sz w:val="24"/>
          <w:szCs w:val="24"/>
        </w:rPr>
        <w:t xml:space="preserve">En el caso de Chile se ha analizado la relación entre productividad y gasto en I+D </w:t>
      </w:r>
      <w:r w:rsidR="003A148B" w:rsidRPr="006A0175">
        <w:rPr>
          <w:rFonts w:ascii="Times New Roman" w:hAnsi="Times New Roman" w:cs="Times New Roman"/>
          <w:sz w:val="24"/>
          <w:szCs w:val="24"/>
        </w:rPr>
        <w:t>con distintas metodologías. Caben destacar los trabajos más recientes sobre este vínculo (</w:t>
      </w:r>
      <w:r w:rsidRPr="006A0175">
        <w:rPr>
          <w:rFonts w:ascii="Times New Roman" w:hAnsi="Times New Roman" w:cs="Times New Roman"/>
          <w:sz w:val="24"/>
          <w:szCs w:val="24"/>
        </w:rPr>
        <w:t>Bravo y García, 2011</w:t>
      </w:r>
      <w:r w:rsidR="003A148B" w:rsidRPr="006A0175">
        <w:rPr>
          <w:rFonts w:ascii="Times New Roman" w:hAnsi="Times New Roman" w:cs="Times New Roman"/>
          <w:sz w:val="24"/>
          <w:szCs w:val="24"/>
        </w:rPr>
        <w:t xml:space="preserve">; </w:t>
      </w:r>
      <w:r w:rsidRPr="006A0175">
        <w:rPr>
          <w:rFonts w:ascii="Times New Roman" w:hAnsi="Times New Roman" w:cs="Times New Roman"/>
          <w:sz w:val="24"/>
          <w:szCs w:val="24"/>
        </w:rPr>
        <w:t>Benavente, Bravo y González, 2013</w:t>
      </w:r>
      <w:r w:rsidR="003A148B" w:rsidRPr="006A0175">
        <w:rPr>
          <w:rFonts w:ascii="Times New Roman" w:hAnsi="Times New Roman" w:cs="Times New Roman"/>
          <w:sz w:val="24"/>
          <w:szCs w:val="24"/>
        </w:rPr>
        <w:t xml:space="preserve">; entre otros), en los cuales la evidencia sugiere al gasto en I+D como un determinante importante de la productividad a nivel de </w:t>
      </w:r>
      <w:r w:rsidR="00FB67FF" w:rsidRPr="006A0175">
        <w:rPr>
          <w:rFonts w:ascii="Times New Roman" w:hAnsi="Times New Roman" w:cs="Times New Roman"/>
          <w:sz w:val="24"/>
          <w:szCs w:val="24"/>
        </w:rPr>
        <w:t>firmas</w:t>
      </w:r>
      <w:r w:rsidR="003A148B" w:rsidRPr="006A0175">
        <w:rPr>
          <w:rFonts w:ascii="Times New Roman" w:hAnsi="Times New Roman" w:cs="Times New Roman"/>
          <w:sz w:val="24"/>
          <w:szCs w:val="24"/>
        </w:rPr>
        <w:t xml:space="preserve">. Sin </w:t>
      </w:r>
      <w:r w:rsidR="00040C34" w:rsidRPr="006A0175">
        <w:rPr>
          <w:rFonts w:ascii="Times New Roman" w:hAnsi="Times New Roman" w:cs="Times New Roman"/>
          <w:sz w:val="24"/>
          <w:szCs w:val="24"/>
        </w:rPr>
        <w:t>embargo,</w:t>
      </w:r>
      <w:r w:rsidR="003A148B" w:rsidRPr="006A0175">
        <w:rPr>
          <w:rFonts w:ascii="Times New Roman" w:hAnsi="Times New Roman" w:cs="Times New Roman"/>
          <w:sz w:val="24"/>
          <w:szCs w:val="24"/>
        </w:rPr>
        <w:t xml:space="preserve"> </w:t>
      </w:r>
      <w:r w:rsidR="000739FE">
        <w:rPr>
          <w:rFonts w:ascii="Times New Roman" w:hAnsi="Times New Roman" w:cs="Times New Roman"/>
          <w:sz w:val="24"/>
          <w:szCs w:val="24"/>
        </w:rPr>
        <w:t>destaca la incertidumbre</w:t>
      </w:r>
      <w:r w:rsidR="003A148B" w:rsidRPr="006A0175">
        <w:rPr>
          <w:rFonts w:ascii="Times New Roman" w:hAnsi="Times New Roman" w:cs="Times New Roman"/>
          <w:sz w:val="24"/>
          <w:szCs w:val="24"/>
        </w:rPr>
        <w:t xml:space="preserve"> sobre la naturaleza de la relación entre innovación, gasto en I+D y productividad a nivel país. </w:t>
      </w:r>
      <w:r w:rsidR="00DB29AB">
        <w:rPr>
          <w:rFonts w:ascii="Times New Roman" w:hAnsi="Times New Roman" w:cs="Times New Roman"/>
          <w:sz w:val="24"/>
          <w:szCs w:val="24"/>
        </w:rPr>
        <w:t>En otras palabras, ¿C</w:t>
      </w:r>
      <w:r w:rsidR="00FB67FF" w:rsidRPr="006A0175">
        <w:rPr>
          <w:rFonts w:ascii="Times New Roman" w:hAnsi="Times New Roman" w:cs="Times New Roman"/>
          <w:sz w:val="24"/>
          <w:szCs w:val="24"/>
        </w:rPr>
        <w:t>uál es el gasto óptimo en I+D como porcentaje del PIB?</w:t>
      </w:r>
      <w:r w:rsidR="00DB29AB">
        <w:rPr>
          <w:rFonts w:ascii="Times New Roman" w:hAnsi="Times New Roman" w:cs="Times New Roman"/>
          <w:sz w:val="24"/>
          <w:szCs w:val="24"/>
        </w:rPr>
        <w:t>,</w:t>
      </w:r>
      <w:r w:rsidR="00FB67FF" w:rsidRPr="006A0175">
        <w:rPr>
          <w:rFonts w:ascii="Times New Roman" w:hAnsi="Times New Roman" w:cs="Times New Roman"/>
          <w:sz w:val="24"/>
          <w:szCs w:val="24"/>
        </w:rPr>
        <w:t xml:space="preserve"> ¿Dónde se deberían </w:t>
      </w:r>
      <w:r w:rsidR="00AB4306">
        <w:rPr>
          <w:rFonts w:ascii="Times New Roman" w:hAnsi="Times New Roman" w:cs="Times New Roman"/>
          <w:sz w:val="24"/>
          <w:szCs w:val="24"/>
        </w:rPr>
        <w:t>asignar</w:t>
      </w:r>
      <w:r w:rsidR="00FB67FF" w:rsidRPr="006A0175">
        <w:rPr>
          <w:rFonts w:ascii="Times New Roman" w:hAnsi="Times New Roman" w:cs="Times New Roman"/>
          <w:sz w:val="24"/>
          <w:szCs w:val="24"/>
        </w:rPr>
        <w:t xml:space="preserve"> los recursos e incentivos?</w:t>
      </w:r>
      <w:r w:rsidR="00DB29AB">
        <w:rPr>
          <w:rFonts w:ascii="Times New Roman" w:hAnsi="Times New Roman" w:cs="Times New Roman"/>
          <w:sz w:val="24"/>
          <w:szCs w:val="24"/>
        </w:rPr>
        <w:t>,</w:t>
      </w:r>
      <w:r w:rsidR="00FB67FF" w:rsidRPr="006A0175">
        <w:rPr>
          <w:rFonts w:ascii="Times New Roman" w:hAnsi="Times New Roman" w:cs="Times New Roman"/>
          <w:sz w:val="24"/>
          <w:szCs w:val="24"/>
        </w:rPr>
        <w:t xml:space="preserve"> ¿Son los privados capaces de maximizar el retorno social de la I+D? </w:t>
      </w:r>
      <w:r w:rsidR="003A148B" w:rsidRPr="006A0175">
        <w:rPr>
          <w:rFonts w:ascii="Times New Roman" w:hAnsi="Times New Roman" w:cs="Times New Roman"/>
          <w:sz w:val="24"/>
          <w:szCs w:val="24"/>
        </w:rPr>
        <w:t xml:space="preserve">Finalmente se hace </w:t>
      </w:r>
      <w:r w:rsidR="000739FE">
        <w:rPr>
          <w:rFonts w:ascii="Times New Roman" w:hAnsi="Times New Roman" w:cs="Times New Roman"/>
          <w:sz w:val="24"/>
          <w:szCs w:val="24"/>
        </w:rPr>
        <w:t>crucial</w:t>
      </w:r>
      <w:r w:rsidR="003A148B" w:rsidRPr="006A0175">
        <w:rPr>
          <w:rFonts w:ascii="Times New Roman" w:hAnsi="Times New Roman" w:cs="Times New Roman"/>
          <w:sz w:val="24"/>
          <w:szCs w:val="24"/>
        </w:rPr>
        <w:t xml:space="preserve"> seguir con las investigaciones sobre determinantes de la productividad en países de ingreso medio, tal como Chile, </w:t>
      </w:r>
      <w:r w:rsidR="000739FE">
        <w:rPr>
          <w:rFonts w:ascii="Times New Roman" w:hAnsi="Times New Roman" w:cs="Times New Roman"/>
          <w:sz w:val="24"/>
          <w:szCs w:val="24"/>
        </w:rPr>
        <w:t>dada la apertura económica creciente</w:t>
      </w:r>
      <w:r w:rsidR="003A148B" w:rsidRPr="006A0175">
        <w:rPr>
          <w:rFonts w:ascii="Times New Roman" w:hAnsi="Times New Roman" w:cs="Times New Roman"/>
          <w:sz w:val="24"/>
          <w:szCs w:val="24"/>
        </w:rPr>
        <w:t xml:space="preserve"> y el panorama técnico económico que plantea la globalización</w:t>
      </w:r>
      <w:r w:rsidR="00385817" w:rsidRPr="006A0175">
        <w:rPr>
          <w:rFonts w:ascii="Times New Roman" w:hAnsi="Times New Roman" w:cs="Times New Roman"/>
          <w:sz w:val="24"/>
          <w:szCs w:val="24"/>
        </w:rPr>
        <w:t>, además de</w:t>
      </w:r>
      <w:r w:rsidR="003A148B" w:rsidRPr="006A0175">
        <w:rPr>
          <w:rFonts w:ascii="Times New Roman" w:hAnsi="Times New Roman" w:cs="Times New Roman"/>
          <w:sz w:val="24"/>
          <w:szCs w:val="24"/>
        </w:rPr>
        <w:t xml:space="preserve"> las posibilidades que tienen los Estados en hacer política pública adecuada.</w:t>
      </w:r>
    </w:p>
    <w:p w14:paraId="7C9BC39B" w14:textId="02268F23" w:rsidR="00385817" w:rsidRPr="006A0175" w:rsidRDefault="00547D5D" w:rsidP="00547D5D">
      <w:pPr>
        <w:pStyle w:val="Ttulo2"/>
      </w:pPr>
      <w:bookmarkStart w:id="3" w:name="_Toc470081847"/>
      <w:r>
        <w:t>El papel del Estado</w:t>
      </w:r>
      <w:bookmarkEnd w:id="3"/>
    </w:p>
    <w:p w14:paraId="514F64EB" w14:textId="50F994A6" w:rsidR="00547D5D" w:rsidRDefault="00976C44" w:rsidP="00F2528B">
      <w:pPr>
        <w:jc w:val="both"/>
        <w:rPr>
          <w:rFonts w:ascii="Times New Roman" w:hAnsi="Times New Roman" w:cs="Times New Roman"/>
          <w:sz w:val="24"/>
          <w:szCs w:val="24"/>
        </w:rPr>
      </w:pPr>
      <w:r w:rsidRPr="006A0175">
        <w:rPr>
          <w:rFonts w:ascii="Times New Roman" w:hAnsi="Times New Roman" w:cs="Times New Roman"/>
          <w:sz w:val="24"/>
          <w:szCs w:val="24"/>
        </w:rPr>
        <w:t>El Estado tiene un rol fundamental, si bien no exclusivo, en apoyar la generación de conocimiento</w:t>
      </w:r>
      <w:r w:rsidR="00547D5D">
        <w:rPr>
          <w:rFonts w:ascii="Times New Roman" w:hAnsi="Times New Roman" w:cs="Times New Roman"/>
          <w:sz w:val="24"/>
          <w:szCs w:val="24"/>
        </w:rPr>
        <w:t xml:space="preserve">, su adopción productiva y posterior </w:t>
      </w:r>
      <w:r w:rsidRPr="006A0175">
        <w:rPr>
          <w:rFonts w:ascii="Times New Roman" w:hAnsi="Times New Roman" w:cs="Times New Roman"/>
          <w:sz w:val="24"/>
          <w:szCs w:val="24"/>
        </w:rPr>
        <w:t>aplicación para acelerar el crecimiento</w:t>
      </w:r>
      <w:r w:rsidR="00547D5D">
        <w:rPr>
          <w:rFonts w:ascii="Times New Roman" w:hAnsi="Times New Roman" w:cs="Times New Roman"/>
          <w:sz w:val="24"/>
          <w:szCs w:val="24"/>
        </w:rPr>
        <w:t xml:space="preserve"> económico</w:t>
      </w:r>
      <w:r w:rsidRPr="006A0175">
        <w:rPr>
          <w:rFonts w:ascii="Times New Roman" w:hAnsi="Times New Roman" w:cs="Times New Roman"/>
          <w:sz w:val="24"/>
          <w:szCs w:val="24"/>
        </w:rPr>
        <w:t xml:space="preserve"> mediante la innovación. El rol del Estado</w:t>
      </w:r>
      <w:r w:rsidR="00A615D9" w:rsidRPr="006A0175">
        <w:rPr>
          <w:rFonts w:ascii="Times New Roman" w:hAnsi="Times New Roman" w:cs="Times New Roman"/>
          <w:sz w:val="24"/>
          <w:szCs w:val="24"/>
        </w:rPr>
        <w:t xml:space="preserve"> está alejado del desplazamiento de inversiones privadas, sino que subyace en financiar inversiones de alto riesgo, que los privados no estarían </w:t>
      </w:r>
      <w:r w:rsidR="00040C34" w:rsidRPr="006A0175">
        <w:rPr>
          <w:rFonts w:ascii="Times New Roman" w:hAnsi="Times New Roman" w:cs="Times New Roman"/>
          <w:sz w:val="24"/>
          <w:szCs w:val="24"/>
        </w:rPr>
        <w:t>dispuestos</w:t>
      </w:r>
      <w:r w:rsidR="00A615D9" w:rsidRPr="006A0175">
        <w:rPr>
          <w:rFonts w:ascii="Times New Roman" w:hAnsi="Times New Roman" w:cs="Times New Roman"/>
          <w:sz w:val="24"/>
          <w:szCs w:val="24"/>
        </w:rPr>
        <w:t xml:space="preserve"> a financiar. </w:t>
      </w:r>
      <w:r w:rsidR="00A12F7A" w:rsidRPr="006A0175">
        <w:rPr>
          <w:rFonts w:ascii="Times New Roman" w:hAnsi="Times New Roman" w:cs="Times New Roman"/>
          <w:sz w:val="24"/>
          <w:szCs w:val="24"/>
        </w:rPr>
        <w:t xml:space="preserve">Su </w:t>
      </w:r>
      <w:r w:rsidR="00385817" w:rsidRPr="006A0175">
        <w:rPr>
          <w:rFonts w:ascii="Times New Roman" w:hAnsi="Times New Roman" w:cs="Times New Roman"/>
          <w:sz w:val="24"/>
          <w:szCs w:val="24"/>
        </w:rPr>
        <w:t>principal papel</w:t>
      </w:r>
      <w:r w:rsidR="00A615D9" w:rsidRPr="006A0175">
        <w:rPr>
          <w:rFonts w:ascii="Times New Roman" w:hAnsi="Times New Roman" w:cs="Times New Roman"/>
          <w:sz w:val="24"/>
          <w:szCs w:val="24"/>
        </w:rPr>
        <w:t xml:space="preserve"> </w:t>
      </w:r>
      <w:r w:rsidR="00A12F7A" w:rsidRPr="006A0175">
        <w:rPr>
          <w:rFonts w:ascii="Times New Roman" w:hAnsi="Times New Roman" w:cs="Times New Roman"/>
          <w:sz w:val="24"/>
          <w:szCs w:val="24"/>
        </w:rPr>
        <w:t xml:space="preserve">es propiciar la generación de </w:t>
      </w:r>
      <w:r w:rsidR="00A615D9" w:rsidRPr="006A0175">
        <w:rPr>
          <w:rFonts w:ascii="Times New Roman" w:hAnsi="Times New Roman" w:cs="Times New Roman"/>
          <w:sz w:val="24"/>
          <w:szCs w:val="24"/>
        </w:rPr>
        <w:t>actividad</w:t>
      </w:r>
      <w:r w:rsidR="00A12F7A" w:rsidRPr="006A0175">
        <w:rPr>
          <w:rFonts w:ascii="Times New Roman" w:hAnsi="Times New Roman" w:cs="Times New Roman"/>
          <w:sz w:val="24"/>
          <w:szCs w:val="24"/>
        </w:rPr>
        <w:t>es</w:t>
      </w:r>
      <w:r w:rsidR="00A615D9" w:rsidRPr="006A0175">
        <w:rPr>
          <w:rFonts w:ascii="Times New Roman" w:hAnsi="Times New Roman" w:cs="Times New Roman"/>
          <w:sz w:val="24"/>
          <w:szCs w:val="24"/>
        </w:rPr>
        <w:t xml:space="preserve"> económica</w:t>
      </w:r>
      <w:r w:rsidR="00A12F7A" w:rsidRPr="006A0175">
        <w:rPr>
          <w:rFonts w:ascii="Times New Roman" w:hAnsi="Times New Roman" w:cs="Times New Roman"/>
          <w:sz w:val="24"/>
          <w:szCs w:val="24"/>
        </w:rPr>
        <w:t xml:space="preserve">s, las cuales </w:t>
      </w:r>
      <w:r w:rsidR="00A615D9" w:rsidRPr="006A0175">
        <w:rPr>
          <w:rFonts w:ascii="Times New Roman" w:hAnsi="Times New Roman" w:cs="Times New Roman"/>
          <w:sz w:val="24"/>
          <w:szCs w:val="24"/>
        </w:rPr>
        <w:t>sin su apoyo no sucedería</w:t>
      </w:r>
      <w:r w:rsidR="00A12F7A" w:rsidRPr="006A0175">
        <w:rPr>
          <w:rFonts w:ascii="Times New Roman" w:hAnsi="Times New Roman" w:cs="Times New Roman"/>
          <w:sz w:val="24"/>
          <w:szCs w:val="24"/>
        </w:rPr>
        <w:t>n</w:t>
      </w:r>
      <w:r w:rsidR="00A615D9" w:rsidRPr="006A0175">
        <w:rPr>
          <w:rFonts w:ascii="Times New Roman" w:hAnsi="Times New Roman" w:cs="Times New Roman"/>
          <w:sz w:val="24"/>
          <w:szCs w:val="24"/>
        </w:rPr>
        <w:t>, abriendo activamente nuevas tecnologías y mercados donde los privados no tienen interés de hacer la</w:t>
      </w:r>
      <w:r w:rsidR="00A12F7A" w:rsidRPr="006A0175">
        <w:rPr>
          <w:rFonts w:ascii="Times New Roman" w:hAnsi="Times New Roman" w:cs="Times New Roman"/>
          <w:sz w:val="24"/>
          <w:szCs w:val="24"/>
        </w:rPr>
        <w:t>s in</w:t>
      </w:r>
      <w:r w:rsidR="00DB29AB">
        <w:rPr>
          <w:rFonts w:ascii="Times New Roman" w:hAnsi="Times New Roman" w:cs="Times New Roman"/>
          <w:sz w:val="24"/>
          <w:szCs w:val="24"/>
        </w:rPr>
        <w:t>versiones exploratorias. El G</w:t>
      </w:r>
      <w:r w:rsidR="00A12F7A" w:rsidRPr="006A0175">
        <w:rPr>
          <w:rFonts w:ascii="Times New Roman" w:hAnsi="Times New Roman" w:cs="Times New Roman"/>
          <w:sz w:val="24"/>
          <w:szCs w:val="24"/>
        </w:rPr>
        <w:t xml:space="preserve">obierno </w:t>
      </w:r>
      <w:r w:rsidR="00A615D9" w:rsidRPr="006A0175">
        <w:rPr>
          <w:rFonts w:ascii="Times New Roman" w:hAnsi="Times New Roman" w:cs="Times New Roman"/>
          <w:sz w:val="24"/>
          <w:szCs w:val="24"/>
        </w:rPr>
        <w:t xml:space="preserve">debe velar por la generación de nuevo y </w:t>
      </w:r>
      <w:r w:rsidR="00A12F7A" w:rsidRPr="006A0175">
        <w:rPr>
          <w:rFonts w:ascii="Times New Roman" w:hAnsi="Times New Roman" w:cs="Times New Roman"/>
          <w:sz w:val="24"/>
          <w:szCs w:val="24"/>
        </w:rPr>
        <w:t xml:space="preserve">mayor valor agregado, no sólo corregir </w:t>
      </w:r>
      <w:r w:rsidR="00A615D9" w:rsidRPr="006A0175">
        <w:rPr>
          <w:rFonts w:ascii="Times New Roman" w:hAnsi="Times New Roman" w:cs="Times New Roman"/>
          <w:sz w:val="24"/>
          <w:szCs w:val="24"/>
        </w:rPr>
        <w:t>fallas</w:t>
      </w:r>
      <w:r w:rsidR="00A12F7A" w:rsidRPr="006A0175">
        <w:rPr>
          <w:rFonts w:ascii="Times New Roman" w:hAnsi="Times New Roman" w:cs="Times New Roman"/>
          <w:sz w:val="24"/>
          <w:szCs w:val="24"/>
        </w:rPr>
        <w:t xml:space="preserve"> </w:t>
      </w:r>
      <w:r w:rsidR="00FB5A71" w:rsidRPr="006A0175">
        <w:rPr>
          <w:rFonts w:ascii="Times New Roman" w:hAnsi="Times New Roman" w:cs="Times New Roman"/>
          <w:sz w:val="24"/>
          <w:szCs w:val="24"/>
        </w:rPr>
        <w:t>de mercado.</w:t>
      </w:r>
      <w:r w:rsidR="00A12F7A" w:rsidRPr="006A0175">
        <w:rPr>
          <w:rFonts w:ascii="Times New Roman" w:hAnsi="Times New Roman" w:cs="Times New Roman"/>
          <w:sz w:val="24"/>
          <w:szCs w:val="24"/>
        </w:rPr>
        <w:t xml:space="preserve"> </w:t>
      </w:r>
      <w:r w:rsidR="00040C34" w:rsidRPr="006A0175">
        <w:rPr>
          <w:rFonts w:ascii="Times New Roman" w:hAnsi="Times New Roman" w:cs="Times New Roman"/>
          <w:sz w:val="24"/>
          <w:szCs w:val="24"/>
        </w:rPr>
        <w:t>El</w:t>
      </w:r>
      <w:r w:rsidR="00A615D9" w:rsidRPr="006A0175">
        <w:rPr>
          <w:rFonts w:ascii="Times New Roman" w:hAnsi="Times New Roman" w:cs="Times New Roman"/>
          <w:sz w:val="24"/>
          <w:szCs w:val="24"/>
        </w:rPr>
        <w:t xml:space="preserve"> éxito de las políticas </w:t>
      </w:r>
      <w:r w:rsidR="00C665CA" w:rsidRPr="006A0175">
        <w:rPr>
          <w:rFonts w:ascii="Times New Roman" w:hAnsi="Times New Roman" w:cs="Times New Roman"/>
          <w:sz w:val="24"/>
          <w:szCs w:val="24"/>
        </w:rPr>
        <w:t xml:space="preserve">en innovación </w:t>
      </w:r>
      <w:r w:rsidR="00A615D9" w:rsidRPr="006A0175">
        <w:rPr>
          <w:rFonts w:ascii="Times New Roman" w:hAnsi="Times New Roman" w:cs="Times New Roman"/>
          <w:sz w:val="24"/>
          <w:szCs w:val="24"/>
        </w:rPr>
        <w:t>impulsadas por el Estado radica en la fluidez de la cooperación público-privada</w:t>
      </w:r>
      <w:r w:rsidR="00B91E07" w:rsidRPr="006A0175">
        <w:rPr>
          <w:rFonts w:ascii="Times New Roman" w:hAnsi="Times New Roman" w:cs="Times New Roman"/>
          <w:sz w:val="24"/>
          <w:szCs w:val="24"/>
        </w:rPr>
        <w:t xml:space="preserve"> (</w:t>
      </w:r>
      <w:proofErr w:type="spellStart"/>
      <w:r w:rsidR="00B91E07" w:rsidRPr="006A0175">
        <w:rPr>
          <w:rFonts w:ascii="Times New Roman" w:hAnsi="Times New Roman" w:cs="Times New Roman"/>
          <w:sz w:val="24"/>
          <w:szCs w:val="24"/>
        </w:rPr>
        <w:t>Mazzucato</w:t>
      </w:r>
      <w:proofErr w:type="spellEnd"/>
      <w:r w:rsidR="00B91E07" w:rsidRPr="006A0175">
        <w:rPr>
          <w:rFonts w:ascii="Times New Roman" w:hAnsi="Times New Roman" w:cs="Times New Roman"/>
          <w:sz w:val="24"/>
          <w:szCs w:val="24"/>
        </w:rPr>
        <w:t>, 2013).</w:t>
      </w:r>
    </w:p>
    <w:p w14:paraId="5CB15B49" w14:textId="44F2BE98" w:rsidR="00F2528B" w:rsidRDefault="000739FE" w:rsidP="00F2528B">
      <w:pPr>
        <w:jc w:val="both"/>
        <w:rPr>
          <w:rFonts w:ascii="Times New Roman" w:hAnsi="Times New Roman" w:cs="Times New Roman"/>
          <w:sz w:val="24"/>
          <w:szCs w:val="24"/>
        </w:rPr>
      </w:pPr>
      <w:r>
        <w:rPr>
          <w:rFonts w:ascii="Times New Roman" w:hAnsi="Times New Roman" w:cs="Times New Roman"/>
          <w:sz w:val="24"/>
          <w:szCs w:val="24"/>
        </w:rPr>
        <w:t>Es riesgoso</w:t>
      </w:r>
      <w:r w:rsidR="00DB29AB">
        <w:rPr>
          <w:rFonts w:ascii="Times New Roman" w:hAnsi="Times New Roman" w:cs="Times New Roman"/>
          <w:sz w:val="24"/>
          <w:szCs w:val="24"/>
        </w:rPr>
        <w:t xml:space="preserve"> para un G</w:t>
      </w:r>
      <w:r w:rsidR="00547D5D">
        <w:rPr>
          <w:rFonts w:ascii="Times New Roman" w:hAnsi="Times New Roman" w:cs="Times New Roman"/>
          <w:sz w:val="24"/>
          <w:szCs w:val="24"/>
        </w:rPr>
        <w:t xml:space="preserve">obierno invertir </w:t>
      </w:r>
      <w:r w:rsidR="000A0B95">
        <w:rPr>
          <w:rFonts w:ascii="Times New Roman" w:hAnsi="Times New Roman" w:cs="Times New Roman"/>
          <w:sz w:val="24"/>
          <w:szCs w:val="24"/>
        </w:rPr>
        <w:t xml:space="preserve">recursos en financiar la realización de I+D por parte de las empresas sin tener la certeza que ese es gasto en incremental y no sustitutivo. Por lo que existen diversas medidas para estudiar la eficiencia de este desembolso. </w:t>
      </w:r>
      <w:r w:rsidR="00F2528B" w:rsidRPr="00F2528B">
        <w:rPr>
          <w:rFonts w:ascii="Times New Roman" w:hAnsi="Times New Roman" w:cs="Times New Roman"/>
          <w:sz w:val="24"/>
          <w:szCs w:val="24"/>
        </w:rPr>
        <w:t xml:space="preserve">El primer paso para medir si </w:t>
      </w:r>
      <w:r>
        <w:rPr>
          <w:rFonts w:ascii="Times New Roman" w:hAnsi="Times New Roman" w:cs="Times New Roman"/>
          <w:sz w:val="24"/>
          <w:szCs w:val="24"/>
        </w:rPr>
        <w:t xml:space="preserve">el </w:t>
      </w:r>
      <w:r w:rsidR="00F2528B" w:rsidRPr="00F2528B">
        <w:rPr>
          <w:rFonts w:ascii="Times New Roman" w:hAnsi="Times New Roman" w:cs="Times New Roman"/>
          <w:sz w:val="24"/>
          <w:szCs w:val="24"/>
        </w:rPr>
        <w:t>financiamiento público a la I+D</w:t>
      </w:r>
      <w:r w:rsidR="00F2528B">
        <w:rPr>
          <w:rFonts w:ascii="Times New Roman" w:hAnsi="Times New Roman" w:cs="Times New Roman"/>
          <w:sz w:val="24"/>
          <w:szCs w:val="24"/>
        </w:rPr>
        <w:t xml:space="preserve"> privada</w:t>
      </w:r>
      <w:r w:rsidR="00F2528B" w:rsidRPr="00F2528B">
        <w:rPr>
          <w:rFonts w:ascii="Times New Roman" w:hAnsi="Times New Roman" w:cs="Times New Roman"/>
          <w:sz w:val="24"/>
          <w:szCs w:val="24"/>
        </w:rPr>
        <w:t xml:space="preserve"> es un mecanismo efectivo para fomentar la innovación empresarial</w:t>
      </w:r>
      <w:r>
        <w:rPr>
          <w:rFonts w:ascii="Times New Roman" w:hAnsi="Times New Roman" w:cs="Times New Roman"/>
          <w:sz w:val="24"/>
          <w:szCs w:val="24"/>
        </w:rPr>
        <w:t>,</w:t>
      </w:r>
      <w:r w:rsidR="00F2528B" w:rsidRPr="00F2528B">
        <w:rPr>
          <w:rFonts w:ascii="Times New Roman" w:hAnsi="Times New Roman" w:cs="Times New Roman"/>
          <w:sz w:val="24"/>
          <w:szCs w:val="24"/>
        </w:rPr>
        <w:t xml:space="preserve"> es comprobar si dicho financiamiento solo sustituye la inversión que iba a realizar de todas formas la firma, o si apalanca financiamiento adicional. La </w:t>
      </w:r>
      <w:proofErr w:type="spellStart"/>
      <w:r w:rsidR="00F2528B" w:rsidRPr="00F2528B">
        <w:rPr>
          <w:rFonts w:ascii="Times New Roman" w:hAnsi="Times New Roman" w:cs="Times New Roman"/>
          <w:sz w:val="24"/>
          <w:szCs w:val="24"/>
        </w:rPr>
        <w:t>adicionalidad</w:t>
      </w:r>
      <w:proofErr w:type="spellEnd"/>
      <w:r w:rsidR="00F2528B" w:rsidRPr="00F2528B">
        <w:rPr>
          <w:rFonts w:ascii="Times New Roman" w:hAnsi="Times New Roman" w:cs="Times New Roman"/>
          <w:sz w:val="24"/>
          <w:szCs w:val="24"/>
        </w:rPr>
        <w:t xml:space="preserve"> de insumos para la innovación mide las variaciones efectivas del gasto realizado por las empresas en su inversión en I+D, y busca dilucidar si el financiamiento público viene a complementar y aumentar el esfuerzo innovador de la empresa, generando lo que se denomina el efecto apalancamiento o </w:t>
      </w:r>
      <w:proofErr w:type="spellStart"/>
      <w:r w:rsidR="00F2528B" w:rsidRPr="00F2528B">
        <w:rPr>
          <w:rFonts w:ascii="Times New Roman" w:hAnsi="Times New Roman" w:cs="Times New Roman"/>
          <w:sz w:val="24"/>
          <w:szCs w:val="24"/>
        </w:rPr>
        <w:t>crowding</w:t>
      </w:r>
      <w:proofErr w:type="spellEnd"/>
      <w:r w:rsidR="00F2528B" w:rsidRPr="00F2528B">
        <w:rPr>
          <w:rFonts w:ascii="Times New Roman" w:hAnsi="Times New Roman" w:cs="Times New Roman"/>
          <w:sz w:val="24"/>
          <w:szCs w:val="24"/>
        </w:rPr>
        <w:t>-in, o si</w:t>
      </w:r>
      <w:r w:rsidR="0020327D">
        <w:rPr>
          <w:rFonts w:ascii="Times New Roman" w:hAnsi="Times New Roman" w:cs="Times New Roman"/>
          <w:sz w:val="24"/>
          <w:szCs w:val="24"/>
        </w:rPr>
        <w:t xml:space="preserve"> en su defecto,</w:t>
      </w:r>
      <w:r w:rsidR="00F2528B" w:rsidRPr="00F2528B">
        <w:rPr>
          <w:rFonts w:ascii="Times New Roman" w:hAnsi="Times New Roman" w:cs="Times New Roman"/>
          <w:sz w:val="24"/>
          <w:szCs w:val="24"/>
        </w:rPr>
        <w:t xml:space="preserve"> este financiamiento reemplaza el gasto privado en innovación, lo que se denomina efecto sustitución o </w:t>
      </w:r>
      <w:proofErr w:type="spellStart"/>
      <w:r w:rsidR="00F2528B" w:rsidRPr="00F2528B">
        <w:rPr>
          <w:rFonts w:ascii="Times New Roman" w:hAnsi="Times New Roman" w:cs="Times New Roman"/>
          <w:sz w:val="24"/>
          <w:szCs w:val="24"/>
        </w:rPr>
        <w:t>crowding-out</w:t>
      </w:r>
      <w:proofErr w:type="spellEnd"/>
      <w:r w:rsidR="00F2528B" w:rsidRPr="00F2528B">
        <w:rPr>
          <w:rFonts w:ascii="Times New Roman" w:hAnsi="Times New Roman" w:cs="Times New Roman"/>
          <w:sz w:val="24"/>
          <w:szCs w:val="24"/>
        </w:rPr>
        <w:t>.</w:t>
      </w:r>
    </w:p>
    <w:p w14:paraId="0B55E2CF" w14:textId="7F445BD5" w:rsidR="00F2528B" w:rsidRPr="00F2528B" w:rsidRDefault="00F2528B" w:rsidP="00F2528B">
      <w:pPr>
        <w:jc w:val="both"/>
        <w:rPr>
          <w:rFonts w:ascii="Times New Roman" w:hAnsi="Times New Roman" w:cs="Times New Roman"/>
          <w:sz w:val="24"/>
          <w:szCs w:val="24"/>
        </w:rPr>
      </w:pPr>
      <w:r w:rsidRPr="00F2528B">
        <w:rPr>
          <w:rFonts w:ascii="Times New Roman" w:hAnsi="Times New Roman" w:cs="Times New Roman"/>
          <w:sz w:val="24"/>
          <w:szCs w:val="24"/>
        </w:rPr>
        <w:lastRenderedPageBreak/>
        <w:t xml:space="preserve">Las evaluaciones de las políticas de incentivos a la </w:t>
      </w:r>
      <w:r>
        <w:rPr>
          <w:rFonts w:ascii="Times New Roman" w:hAnsi="Times New Roman" w:cs="Times New Roman"/>
          <w:sz w:val="24"/>
          <w:szCs w:val="24"/>
        </w:rPr>
        <w:t xml:space="preserve">I+D </w:t>
      </w:r>
      <w:r w:rsidRPr="00F2528B">
        <w:rPr>
          <w:rFonts w:ascii="Times New Roman" w:hAnsi="Times New Roman" w:cs="Times New Roman"/>
          <w:sz w:val="24"/>
          <w:szCs w:val="24"/>
        </w:rPr>
        <w:t xml:space="preserve">se han concentrado principalmente en responder esta pregunta. Dentro de la literatura, se considera </w:t>
      </w:r>
      <w:proofErr w:type="spellStart"/>
      <w:r w:rsidRPr="00F2528B">
        <w:rPr>
          <w:rFonts w:ascii="Times New Roman" w:hAnsi="Times New Roman" w:cs="Times New Roman"/>
          <w:sz w:val="24"/>
          <w:szCs w:val="24"/>
        </w:rPr>
        <w:t>crowding-out</w:t>
      </w:r>
      <w:proofErr w:type="spellEnd"/>
      <w:r w:rsidRPr="00F2528B">
        <w:rPr>
          <w:rFonts w:ascii="Times New Roman" w:hAnsi="Times New Roman" w:cs="Times New Roman"/>
          <w:sz w:val="24"/>
          <w:szCs w:val="24"/>
        </w:rPr>
        <w:t xml:space="preserve"> total cuando existe completa sustitución de los fondos públicos, es decir, el gasto en I+D de la firma es igual o menor al monto del financiamiento. </w:t>
      </w:r>
      <w:proofErr w:type="spellStart"/>
      <w:r>
        <w:rPr>
          <w:rFonts w:ascii="Times New Roman" w:hAnsi="Times New Roman" w:cs="Times New Roman"/>
          <w:sz w:val="24"/>
          <w:szCs w:val="24"/>
        </w:rPr>
        <w:t>A</w:t>
      </w:r>
      <w:r w:rsidRPr="00F2528B">
        <w:rPr>
          <w:rFonts w:ascii="Times New Roman" w:hAnsi="Times New Roman" w:cs="Times New Roman"/>
          <w:sz w:val="24"/>
          <w:szCs w:val="24"/>
        </w:rPr>
        <w:t>dicionalidad</w:t>
      </w:r>
      <w:proofErr w:type="spellEnd"/>
      <w:r>
        <w:rPr>
          <w:rFonts w:ascii="Times New Roman" w:hAnsi="Times New Roman" w:cs="Times New Roman"/>
          <w:sz w:val="24"/>
          <w:szCs w:val="24"/>
        </w:rPr>
        <w:t xml:space="preserve"> en el sentido del</w:t>
      </w:r>
      <w:r w:rsidRPr="00F2528B">
        <w:rPr>
          <w:rFonts w:ascii="Times New Roman" w:hAnsi="Times New Roman" w:cs="Times New Roman"/>
          <w:sz w:val="24"/>
          <w:szCs w:val="24"/>
        </w:rPr>
        <w:t xml:space="preserve"> esfuerzo adicional de gasto en I+D de las firmas, que no se hubiese realizado en caso de no haber existido el subsidio. </w:t>
      </w:r>
    </w:p>
    <w:p w14:paraId="78EAE8B3" w14:textId="2D2734B3" w:rsidR="00F2528B" w:rsidRPr="00D20D11" w:rsidRDefault="00F2528B" w:rsidP="00F2528B">
      <w:pPr>
        <w:jc w:val="both"/>
        <w:rPr>
          <w:rFonts w:ascii="Times New Roman" w:hAnsi="Times New Roman" w:cs="Times New Roman"/>
          <w:sz w:val="24"/>
          <w:szCs w:val="24"/>
          <w:lang w:val="es-CL"/>
        </w:rPr>
      </w:pPr>
      <w:r w:rsidRPr="00F2528B">
        <w:rPr>
          <w:rFonts w:ascii="Times New Roman" w:hAnsi="Times New Roman" w:cs="Times New Roman"/>
          <w:sz w:val="24"/>
          <w:szCs w:val="24"/>
        </w:rPr>
        <w:t xml:space="preserve">David, Hall y </w:t>
      </w:r>
      <w:proofErr w:type="spellStart"/>
      <w:r w:rsidRPr="00F2528B">
        <w:rPr>
          <w:rFonts w:ascii="Times New Roman" w:hAnsi="Times New Roman" w:cs="Times New Roman"/>
          <w:sz w:val="24"/>
          <w:szCs w:val="24"/>
        </w:rPr>
        <w:t>Tool</w:t>
      </w:r>
      <w:proofErr w:type="spellEnd"/>
      <w:r w:rsidRPr="00F2528B">
        <w:rPr>
          <w:rFonts w:ascii="Times New Roman" w:hAnsi="Times New Roman" w:cs="Times New Roman"/>
          <w:sz w:val="24"/>
          <w:szCs w:val="24"/>
        </w:rPr>
        <w:t xml:space="preserve"> (2000) analizaron los estudios realizados entre 1965 y 2000, y concluyen que en un tercio </w:t>
      </w:r>
      <w:r w:rsidR="000739FE">
        <w:rPr>
          <w:rFonts w:ascii="Times New Roman" w:hAnsi="Times New Roman" w:cs="Times New Roman"/>
          <w:sz w:val="24"/>
          <w:szCs w:val="24"/>
        </w:rPr>
        <w:t>del set de instrumentos de exenciones tributarias para financiar I</w:t>
      </w:r>
      <w:r w:rsidR="000739FE" w:rsidRPr="00F2528B">
        <w:rPr>
          <w:rFonts w:ascii="Times New Roman" w:hAnsi="Times New Roman" w:cs="Times New Roman"/>
          <w:sz w:val="24"/>
          <w:szCs w:val="24"/>
        </w:rPr>
        <w:t>+D</w:t>
      </w:r>
      <w:r w:rsidR="000739FE">
        <w:rPr>
          <w:rFonts w:ascii="Times New Roman" w:hAnsi="Times New Roman" w:cs="Times New Roman"/>
          <w:sz w:val="24"/>
          <w:szCs w:val="24"/>
        </w:rPr>
        <w:t xml:space="preserve">, existe </w:t>
      </w:r>
      <w:r w:rsidRPr="00F2528B">
        <w:rPr>
          <w:rFonts w:ascii="Times New Roman" w:hAnsi="Times New Roman" w:cs="Times New Roman"/>
          <w:sz w:val="24"/>
          <w:szCs w:val="24"/>
        </w:rPr>
        <w:t xml:space="preserve">un efecto sustitución. Es decir, los fondos públicos sustituyen a las actividades privadas en I+D. </w:t>
      </w:r>
      <w:proofErr w:type="spellStart"/>
      <w:r w:rsidRPr="00F2528B">
        <w:rPr>
          <w:rFonts w:ascii="Times New Roman" w:hAnsi="Times New Roman" w:cs="Times New Roman"/>
          <w:sz w:val="24"/>
          <w:szCs w:val="24"/>
        </w:rPr>
        <w:t>Zuñiga</w:t>
      </w:r>
      <w:proofErr w:type="spellEnd"/>
      <w:r w:rsidRPr="00F2528B">
        <w:rPr>
          <w:rFonts w:ascii="Times New Roman" w:hAnsi="Times New Roman" w:cs="Times New Roman"/>
          <w:sz w:val="24"/>
          <w:szCs w:val="24"/>
        </w:rPr>
        <w:t xml:space="preserve"> et al. (2014) realizan una revisión posterior, analizando 77 estudios entre 1960 y 2014. Al igual que David, Hall y </w:t>
      </w:r>
      <w:proofErr w:type="spellStart"/>
      <w:r w:rsidRPr="00F2528B">
        <w:rPr>
          <w:rFonts w:ascii="Times New Roman" w:hAnsi="Times New Roman" w:cs="Times New Roman"/>
          <w:sz w:val="24"/>
          <w:szCs w:val="24"/>
        </w:rPr>
        <w:t>Tool</w:t>
      </w:r>
      <w:proofErr w:type="spellEnd"/>
      <w:r w:rsidRPr="00F2528B">
        <w:rPr>
          <w:rFonts w:ascii="Times New Roman" w:hAnsi="Times New Roman" w:cs="Times New Roman"/>
          <w:sz w:val="24"/>
          <w:szCs w:val="24"/>
        </w:rPr>
        <w:t xml:space="preserve"> (2000) encuentran heterogen</w:t>
      </w:r>
      <w:r w:rsidR="000739FE">
        <w:rPr>
          <w:rFonts w:ascii="Times New Roman" w:hAnsi="Times New Roman" w:cs="Times New Roman"/>
          <w:sz w:val="24"/>
          <w:szCs w:val="24"/>
        </w:rPr>
        <w:t xml:space="preserve">eidad entre resultados. El </w:t>
      </w:r>
      <w:r w:rsidRPr="00F2528B">
        <w:rPr>
          <w:rFonts w:ascii="Times New Roman" w:hAnsi="Times New Roman" w:cs="Times New Roman"/>
          <w:sz w:val="24"/>
          <w:szCs w:val="24"/>
        </w:rPr>
        <w:t>número de estudios</w:t>
      </w:r>
      <w:r w:rsidR="000739FE">
        <w:rPr>
          <w:rFonts w:ascii="Times New Roman" w:hAnsi="Times New Roman" w:cs="Times New Roman"/>
          <w:sz w:val="24"/>
          <w:szCs w:val="24"/>
        </w:rPr>
        <w:t xml:space="preserve"> analizados</w:t>
      </w:r>
      <w:r w:rsidRPr="00F2528B">
        <w:rPr>
          <w:rFonts w:ascii="Times New Roman" w:hAnsi="Times New Roman" w:cs="Times New Roman"/>
          <w:sz w:val="24"/>
          <w:szCs w:val="24"/>
        </w:rPr>
        <w:t xml:space="preserve"> les permite elaborar cuatro </w:t>
      </w:r>
      <w:r w:rsidRPr="00D20D11">
        <w:rPr>
          <w:rFonts w:ascii="Times New Roman" w:hAnsi="Times New Roman" w:cs="Times New Roman"/>
          <w:sz w:val="24"/>
          <w:szCs w:val="24"/>
          <w:lang w:val="es-CL"/>
        </w:rPr>
        <w:t xml:space="preserve">hipótesis que explican la heterogeneidad: </w:t>
      </w:r>
    </w:p>
    <w:p w14:paraId="66EE227F" w14:textId="12F1FB37" w:rsidR="00F2528B" w:rsidRPr="00D20D11" w:rsidRDefault="00F2528B" w:rsidP="00FC686F">
      <w:pPr>
        <w:pStyle w:val="Prrafodelista"/>
        <w:numPr>
          <w:ilvl w:val="0"/>
          <w:numId w:val="5"/>
        </w:numPr>
        <w:jc w:val="both"/>
        <w:rPr>
          <w:rFonts w:ascii="Times New Roman" w:hAnsi="Times New Roman"/>
          <w:sz w:val="24"/>
          <w:szCs w:val="24"/>
          <w:lang w:val="es-CL"/>
        </w:rPr>
      </w:pPr>
      <w:r w:rsidRPr="00D20D11">
        <w:rPr>
          <w:rFonts w:ascii="Times New Roman" w:hAnsi="Times New Roman"/>
          <w:sz w:val="24"/>
          <w:szCs w:val="24"/>
          <w:lang w:val="es-CL"/>
        </w:rPr>
        <w:t xml:space="preserve">El efecto del financiamiento público directo en la inversión privada en I+D no se genera en forma instantánea, sino más bien se distribuye en el tiempo. </w:t>
      </w:r>
    </w:p>
    <w:p w14:paraId="58AE4B8F" w14:textId="0F6ED7BB" w:rsidR="00F2528B" w:rsidRPr="00D20D11" w:rsidRDefault="00F2528B" w:rsidP="00FC686F">
      <w:pPr>
        <w:pStyle w:val="Prrafodelista"/>
        <w:numPr>
          <w:ilvl w:val="0"/>
          <w:numId w:val="5"/>
        </w:numPr>
        <w:jc w:val="both"/>
        <w:rPr>
          <w:rFonts w:ascii="Times New Roman" w:hAnsi="Times New Roman"/>
          <w:sz w:val="24"/>
          <w:szCs w:val="24"/>
          <w:lang w:val="es-CL"/>
        </w:rPr>
      </w:pPr>
      <w:r w:rsidRPr="00D20D11">
        <w:rPr>
          <w:rFonts w:ascii="Times New Roman" w:hAnsi="Times New Roman"/>
          <w:sz w:val="24"/>
          <w:szCs w:val="24"/>
          <w:lang w:val="es-CL"/>
        </w:rPr>
        <w:t xml:space="preserve">El efecto de apalancamiento es más fuerte en firmas con restricciones de financiamiento. Por este motivo, el </w:t>
      </w:r>
      <w:proofErr w:type="spellStart"/>
      <w:r w:rsidRPr="00D20D11">
        <w:rPr>
          <w:rFonts w:ascii="Times New Roman" w:hAnsi="Times New Roman"/>
          <w:sz w:val="24"/>
          <w:szCs w:val="24"/>
          <w:lang w:val="es-CL"/>
        </w:rPr>
        <w:t>crowding</w:t>
      </w:r>
      <w:proofErr w:type="spellEnd"/>
      <w:r w:rsidRPr="00D20D11">
        <w:rPr>
          <w:rFonts w:ascii="Times New Roman" w:hAnsi="Times New Roman"/>
          <w:sz w:val="24"/>
          <w:szCs w:val="24"/>
          <w:lang w:val="es-CL"/>
        </w:rPr>
        <w:t xml:space="preserve">-in es más fuerte en firmas pequeñas y jóvenes. </w:t>
      </w:r>
    </w:p>
    <w:p w14:paraId="31959C98" w14:textId="2705633D" w:rsidR="00F2528B" w:rsidRPr="00D20D11" w:rsidRDefault="00F2528B" w:rsidP="00FC686F">
      <w:pPr>
        <w:pStyle w:val="Prrafodelista"/>
        <w:numPr>
          <w:ilvl w:val="0"/>
          <w:numId w:val="5"/>
        </w:numPr>
        <w:jc w:val="both"/>
        <w:rPr>
          <w:rFonts w:ascii="Times New Roman" w:hAnsi="Times New Roman"/>
          <w:sz w:val="24"/>
          <w:szCs w:val="24"/>
          <w:lang w:val="es-CL"/>
        </w:rPr>
      </w:pPr>
      <w:r w:rsidRPr="00D20D11">
        <w:rPr>
          <w:rFonts w:ascii="Times New Roman" w:hAnsi="Times New Roman"/>
          <w:sz w:val="24"/>
          <w:szCs w:val="24"/>
          <w:lang w:val="es-CL"/>
        </w:rPr>
        <w:t xml:space="preserve">El apalancamiento es mayor mientras mayor sea el porcentaje de los fondos destinados a investigación, y menor a desarrollo. Y viceversa. </w:t>
      </w:r>
    </w:p>
    <w:p w14:paraId="057EE1AA" w14:textId="5CDC4631" w:rsidR="00F2528B" w:rsidRPr="00D20D11" w:rsidRDefault="00F2528B" w:rsidP="00FC686F">
      <w:pPr>
        <w:pStyle w:val="Prrafodelista"/>
        <w:numPr>
          <w:ilvl w:val="0"/>
          <w:numId w:val="5"/>
        </w:numPr>
        <w:jc w:val="both"/>
        <w:rPr>
          <w:rFonts w:ascii="Times New Roman" w:hAnsi="Times New Roman"/>
          <w:sz w:val="24"/>
          <w:szCs w:val="24"/>
          <w:lang w:val="es-CL"/>
        </w:rPr>
      </w:pPr>
      <w:r w:rsidRPr="00D20D11">
        <w:rPr>
          <w:rFonts w:ascii="Times New Roman" w:hAnsi="Times New Roman"/>
          <w:sz w:val="24"/>
          <w:szCs w:val="24"/>
          <w:lang w:val="es-CL"/>
        </w:rPr>
        <w:t xml:space="preserve">El efecto </w:t>
      </w:r>
      <w:r w:rsidR="00D20D11" w:rsidRPr="00D20D11">
        <w:rPr>
          <w:rFonts w:ascii="Times New Roman" w:hAnsi="Times New Roman"/>
          <w:sz w:val="24"/>
          <w:szCs w:val="24"/>
          <w:lang w:val="es-CL"/>
        </w:rPr>
        <w:t>del financiamiento público directo</w:t>
      </w:r>
      <w:r w:rsidRPr="00D20D11">
        <w:rPr>
          <w:rFonts w:ascii="Times New Roman" w:hAnsi="Times New Roman"/>
          <w:sz w:val="24"/>
          <w:szCs w:val="24"/>
          <w:lang w:val="es-CL"/>
        </w:rPr>
        <w:t xml:space="preserve"> en la inversión en I+D podría ser caracterizada como una </w:t>
      </w:r>
      <w:r w:rsidR="00DB29AB">
        <w:rPr>
          <w:rFonts w:ascii="Times New Roman" w:hAnsi="Times New Roman"/>
          <w:sz w:val="24"/>
          <w:szCs w:val="24"/>
          <w:lang w:val="es-CL"/>
        </w:rPr>
        <w:t>“</w:t>
      </w:r>
      <w:r w:rsidRPr="00D20D11">
        <w:rPr>
          <w:rFonts w:ascii="Times New Roman" w:hAnsi="Times New Roman"/>
          <w:sz w:val="24"/>
          <w:szCs w:val="24"/>
          <w:lang w:val="es-CL"/>
        </w:rPr>
        <w:t>U</w:t>
      </w:r>
      <w:r w:rsidR="00DB29AB">
        <w:rPr>
          <w:rFonts w:ascii="Times New Roman" w:hAnsi="Times New Roman"/>
          <w:sz w:val="24"/>
          <w:szCs w:val="24"/>
          <w:lang w:val="es-CL"/>
        </w:rPr>
        <w:t>”</w:t>
      </w:r>
      <w:r w:rsidRPr="00D20D11">
        <w:rPr>
          <w:rFonts w:ascii="Times New Roman" w:hAnsi="Times New Roman"/>
          <w:sz w:val="24"/>
          <w:szCs w:val="24"/>
          <w:lang w:val="es-CL"/>
        </w:rPr>
        <w:t xml:space="preserve"> invertida. Es positivo a menor subsidio (</w:t>
      </w:r>
      <w:proofErr w:type="spellStart"/>
      <w:r w:rsidRPr="00D20D11">
        <w:rPr>
          <w:rFonts w:ascii="Times New Roman" w:hAnsi="Times New Roman"/>
          <w:sz w:val="24"/>
          <w:szCs w:val="24"/>
          <w:lang w:val="es-CL"/>
        </w:rPr>
        <w:t>crowding</w:t>
      </w:r>
      <w:proofErr w:type="spellEnd"/>
      <w:r w:rsidRPr="00D20D11">
        <w:rPr>
          <w:rFonts w:ascii="Times New Roman" w:hAnsi="Times New Roman"/>
          <w:sz w:val="24"/>
          <w:szCs w:val="24"/>
          <w:lang w:val="es-CL"/>
        </w:rPr>
        <w:t>-in) y se vuelve negativo una vez superado cierto umbral (</w:t>
      </w:r>
      <w:proofErr w:type="spellStart"/>
      <w:r w:rsidRPr="00D20D11">
        <w:rPr>
          <w:rFonts w:ascii="Times New Roman" w:hAnsi="Times New Roman"/>
          <w:sz w:val="24"/>
          <w:szCs w:val="24"/>
          <w:lang w:val="es-CL"/>
        </w:rPr>
        <w:t>crowding-out</w:t>
      </w:r>
      <w:proofErr w:type="spellEnd"/>
      <w:r w:rsidRPr="00D20D11">
        <w:rPr>
          <w:rFonts w:ascii="Times New Roman" w:hAnsi="Times New Roman"/>
          <w:sz w:val="24"/>
          <w:szCs w:val="24"/>
          <w:lang w:val="es-CL"/>
        </w:rPr>
        <w:t xml:space="preserve">). </w:t>
      </w:r>
    </w:p>
    <w:p w14:paraId="0DCC29A0" w14:textId="0D8D9AB5" w:rsidR="00F2528B" w:rsidRPr="006A0175" w:rsidRDefault="00F2528B" w:rsidP="004C7C67">
      <w:pPr>
        <w:jc w:val="both"/>
        <w:rPr>
          <w:rFonts w:ascii="Times New Roman" w:hAnsi="Times New Roman" w:cs="Times New Roman"/>
          <w:sz w:val="24"/>
          <w:szCs w:val="24"/>
        </w:rPr>
      </w:pPr>
      <w:r w:rsidRPr="00F2528B">
        <w:rPr>
          <w:rFonts w:ascii="Times New Roman" w:hAnsi="Times New Roman" w:cs="Times New Roman"/>
          <w:sz w:val="24"/>
          <w:szCs w:val="24"/>
        </w:rPr>
        <w:t>La evidencia disponible sugiere que el financiamiento público puede apalancar financiamiento privado, sobre</w:t>
      </w:r>
      <w:r w:rsidR="00DB29AB">
        <w:rPr>
          <w:rFonts w:ascii="Times New Roman" w:hAnsi="Times New Roman" w:cs="Times New Roman"/>
          <w:sz w:val="24"/>
          <w:szCs w:val="24"/>
        </w:rPr>
        <w:t xml:space="preserve"> </w:t>
      </w:r>
      <w:r w:rsidRPr="00F2528B">
        <w:rPr>
          <w:rFonts w:ascii="Times New Roman" w:hAnsi="Times New Roman" w:cs="Times New Roman"/>
          <w:sz w:val="24"/>
          <w:szCs w:val="24"/>
        </w:rPr>
        <w:t>todo en firmas más pequeñas o más jóvenes, que se encuentran más constreñidas financieramente, y en el mediano plazo. Sin</w:t>
      </w:r>
      <w:r>
        <w:rPr>
          <w:rFonts w:ascii="Times New Roman" w:hAnsi="Times New Roman" w:cs="Times New Roman"/>
          <w:sz w:val="24"/>
          <w:szCs w:val="24"/>
        </w:rPr>
        <w:t xml:space="preserve"> </w:t>
      </w:r>
      <w:r w:rsidRPr="00F2528B">
        <w:rPr>
          <w:rFonts w:ascii="Times New Roman" w:hAnsi="Times New Roman" w:cs="Times New Roman"/>
          <w:sz w:val="24"/>
          <w:szCs w:val="24"/>
        </w:rPr>
        <w:t>embargo, esta revisión, y gran parte de los estudios analizados, concuerdan en que es necesaria más investigación para entender la heterogeneidad detrás de los resultados encontrados, y que parte de ésta puede ser explicada por las metodologías de evaluación particulares, las que están supeditadas por la disponibilidad de datos.</w:t>
      </w:r>
    </w:p>
    <w:p w14:paraId="39857552" w14:textId="6BDE5F2D" w:rsidR="00F2528B" w:rsidRPr="004C7C67" w:rsidRDefault="004C7C67" w:rsidP="004C7C67">
      <w:pPr>
        <w:pStyle w:val="Ttulo2"/>
      </w:pPr>
      <w:bookmarkStart w:id="4" w:name="_Toc470081848"/>
      <w:r>
        <w:t>Estrategia pública para incentivar</w:t>
      </w:r>
      <w:r w:rsidR="00D7011F" w:rsidRPr="004C7C67">
        <w:t xml:space="preserve"> Investigación, Desarrollo e Innovación</w:t>
      </w:r>
      <w:bookmarkEnd w:id="4"/>
    </w:p>
    <w:p w14:paraId="6E2C7FDC" w14:textId="2608C464" w:rsidR="008022F2" w:rsidRPr="00AA3A03" w:rsidRDefault="00D51929" w:rsidP="00AA3A03">
      <w:pPr>
        <w:jc w:val="both"/>
        <w:rPr>
          <w:rFonts w:ascii="Times New Roman" w:hAnsi="Times New Roman" w:cs="Times New Roman"/>
          <w:sz w:val="24"/>
          <w:szCs w:val="24"/>
        </w:rPr>
      </w:pPr>
      <w:r w:rsidRPr="002F7C94">
        <w:rPr>
          <w:rFonts w:ascii="Times New Roman" w:hAnsi="Times New Roman" w:cs="Times New Roman"/>
          <w:sz w:val="24"/>
          <w:szCs w:val="24"/>
        </w:rPr>
        <w:t>En Chile, e</w:t>
      </w:r>
      <w:r w:rsidR="006B5DC6" w:rsidRPr="002F7C94">
        <w:rPr>
          <w:rFonts w:ascii="Times New Roman" w:hAnsi="Times New Roman" w:cs="Times New Roman"/>
          <w:sz w:val="24"/>
          <w:szCs w:val="24"/>
        </w:rPr>
        <w:t xml:space="preserve">l Consejo Nacional de Innovación para el Desarrollo (CNID, ex CNIC), </w:t>
      </w:r>
      <w:r w:rsidR="000D7BEC" w:rsidRPr="002F7C94">
        <w:rPr>
          <w:rFonts w:ascii="Times New Roman" w:hAnsi="Times New Roman" w:cs="Times New Roman"/>
          <w:sz w:val="24"/>
          <w:szCs w:val="24"/>
        </w:rPr>
        <w:t>construyó</w:t>
      </w:r>
      <w:r w:rsidR="006B5DC6" w:rsidRPr="002F7C94">
        <w:rPr>
          <w:rFonts w:ascii="Times New Roman" w:hAnsi="Times New Roman" w:cs="Times New Roman"/>
          <w:sz w:val="24"/>
          <w:szCs w:val="24"/>
        </w:rPr>
        <w:t xml:space="preserve"> en 2007</w:t>
      </w:r>
      <w:r w:rsidR="000D7BEC" w:rsidRPr="002F7C94">
        <w:rPr>
          <w:rFonts w:ascii="Times New Roman" w:hAnsi="Times New Roman" w:cs="Times New Roman"/>
          <w:sz w:val="24"/>
          <w:szCs w:val="24"/>
        </w:rPr>
        <w:t xml:space="preserve"> una </w:t>
      </w:r>
      <w:r w:rsidR="00DB29AB">
        <w:rPr>
          <w:rFonts w:ascii="Times New Roman" w:hAnsi="Times New Roman" w:cs="Times New Roman"/>
          <w:sz w:val="24"/>
          <w:szCs w:val="24"/>
        </w:rPr>
        <w:t>Estrategia Nacional de Innovación para la C</w:t>
      </w:r>
      <w:r w:rsidR="006B5DC6" w:rsidRPr="002F7C94">
        <w:rPr>
          <w:rFonts w:ascii="Times New Roman" w:hAnsi="Times New Roman" w:cs="Times New Roman"/>
          <w:sz w:val="24"/>
          <w:szCs w:val="24"/>
        </w:rPr>
        <w:t>ompetitividad</w:t>
      </w:r>
      <w:r w:rsidR="000D7BEC" w:rsidRPr="002F7C94">
        <w:rPr>
          <w:rFonts w:ascii="Times New Roman" w:hAnsi="Times New Roman" w:cs="Times New Roman"/>
          <w:sz w:val="24"/>
          <w:szCs w:val="24"/>
        </w:rPr>
        <w:t xml:space="preserve">, la cual explicitó una </w:t>
      </w:r>
      <w:r w:rsidRPr="002F7C94">
        <w:rPr>
          <w:rFonts w:ascii="Times New Roman" w:hAnsi="Times New Roman" w:cs="Times New Roman"/>
          <w:sz w:val="24"/>
          <w:szCs w:val="24"/>
        </w:rPr>
        <w:t>hoja de ruta</w:t>
      </w:r>
      <w:r w:rsidR="00DB29AB">
        <w:rPr>
          <w:rFonts w:ascii="Times New Roman" w:hAnsi="Times New Roman" w:cs="Times New Roman"/>
          <w:sz w:val="24"/>
          <w:szCs w:val="24"/>
        </w:rPr>
        <w:t xml:space="preserve"> a seguir</w:t>
      </w:r>
      <w:r w:rsidR="000D7BEC" w:rsidRPr="002F7C94">
        <w:rPr>
          <w:rFonts w:ascii="Times New Roman" w:hAnsi="Times New Roman" w:cs="Times New Roman"/>
          <w:sz w:val="24"/>
          <w:szCs w:val="24"/>
        </w:rPr>
        <w:t>: “</w:t>
      </w:r>
      <w:r w:rsidR="00DB29AB">
        <w:rPr>
          <w:rFonts w:ascii="Times New Roman" w:hAnsi="Times New Roman" w:cs="Times New Roman"/>
          <w:sz w:val="24"/>
          <w:szCs w:val="24"/>
        </w:rPr>
        <w:t>La G</w:t>
      </w:r>
      <w:r w:rsidR="006B5DC6" w:rsidRPr="002F7C94">
        <w:rPr>
          <w:rFonts w:ascii="Times New Roman" w:hAnsi="Times New Roman" w:cs="Times New Roman"/>
          <w:sz w:val="24"/>
          <w:szCs w:val="24"/>
        </w:rPr>
        <w:t>lobalización y la nueva economía basada en el conocimiento exigen contar con mano de obra más calificada, desarrollar capacidades de aprendizaje permanente, disponer de centros de investigación competitivos internacio</w:t>
      </w:r>
      <w:r w:rsidR="00DB29AB">
        <w:rPr>
          <w:rFonts w:ascii="Times New Roman" w:hAnsi="Times New Roman" w:cs="Times New Roman"/>
          <w:sz w:val="24"/>
          <w:szCs w:val="24"/>
        </w:rPr>
        <w:t>nalmente y con impacto nacional</w:t>
      </w:r>
      <w:r w:rsidR="006B5DC6" w:rsidRPr="002F7C94">
        <w:rPr>
          <w:rFonts w:ascii="Times New Roman" w:hAnsi="Times New Roman" w:cs="Times New Roman"/>
          <w:sz w:val="24"/>
          <w:szCs w:val="24"/>
        </w:rPr>
        <w:t xml:space="preserve"> y generar redes interinstitucionales para sacar el mejor rendimiento social </w:t>
      </w:r>
      <w:r w:rsidR="006B5DC6" w:rsidRPr="002F7C94">
        <w:rPr>
          <w:rFonts w:ascii="Times New Roman" w:hAnsi="Times New Roman" w:cs="Times New Roman"/>
          <w:sz w:val="24"/>
          <w:szCs w:val="24"/>
        </w:rPr>
        <w:lastRenderedPageBreak/>
        <w:t>a la interrelación entre educación, con</w:t>
      </w:r>
      <w:r w:rsidR="00FB5A71" w:rsidRPr="002F7C94">
        <w:rPr>
          <w:rFonts w:ascii="Times New Roman" w:hAnsi="Times New Roman" w:cs="Times New Roman"/>
          <w:sz w:val="24"/>
          <w:szCs w:val="24"/>
        </w:rPr>
        <w:t>ocimiento, ciencia y tecnología</w:t>
      </w:r>
      <w:r w:rsidR="000D7BEC" w:rsidRPr="002F7C94">
        <w:rPr>
          <w:rFonts w:ascii="Times New Roman" w:hAnsi="Times New Roman" w:cs="Times New Roman"/>
          <w:sz w:val="24"/>
          <w:szCs w:val="24"/>
        </w:rPr>
        <w:t>”</w:t>
      </w:r>
      <w:r w:rsidR="00FB5A71" w:rsidRPr="002F7C94">
        <w:rPr>
          <w:rFonts w:ascii="Times New Roman" w:hAnsi="Times New Roman" w:cs="Times New Roman"/>
          <w:sz w:val="24"/>
          <w:szCs w:val="24"/>
        </w:rPr>
        <w:t>.</w:t>
      </w:r>
      <w:r w:rsidR="000D7BEC" w:rsidRPr="002F7C94">
        <w:rPr>
          <w:rFonts w:ascii="Times New Roman" w:hAnsi="Times New Roman" w:cs="Times New Roman"/>
          <w:sz w:val="24"/>
          <w:szCs w:val="24"/>
        </w:rPr>
        <w:t xml:space="preserve"> En este contexto el Sistema Nacional de Innovación (SNI) enmarca la institucionalidad vigente hoy en Chile para el impulso de políticas de Ciencia, Tecnología, Innovación y Emprendimiento (CTIE). El sistema está liderado por la Presidencia de la República, quién encomienda al CNID la realización de la estrategia en la materia, la cual debe ser validada y mandatada por el Consejo de Ministros para la Innovación, coordinada por la División de Innovación del Ministerio de Economía y ejecutada por las agencias gubernamentales especializadas</w:t>
      </w:r>
      <w:r w:rsidR="00DC6965" w:rsidRPr="002F7C94">
        <w:rPr>
          <w:rFonts w:ascii="Times New Roman" w:hAnsi="Times New Roman" w:cs="Times New Roman"/>
          <w:sz w:val="24"/>
          <w:szCs w:val="24"/>
        </w:rPr>
        <w:t>, CORFO, CONICYT, I</w:t>
      </w:r>
      <w:r w:rsidR="00DB29AB">
        <w:rPr>
          <w:rFonts w:ascii="Times New Roman" w:hAnsi="Times New Roman" w:cs="Times New Roman"/>
          <w:sz w:val="24"/>
          <w:szCs w:val="24"/>
        </w:rPr>
        <w:t>niciativa Científica Milenio (I</w:t>
      </w:r>
      <w:r w:rsidR="00DC6965" w:rsidRPr="002F7C94">
        <w:rPr>
          <w:rFonts w:ascii="Times New Roman" w:hAnsi="Times New Roman" w:cs="Times New Roman"/>
          <w:sz w:val="24"/>
          <w:szCs w:val="24"/>
        </w:rPr>
        <w:t>CM</w:t>
      </w:r>
      <w:r w:rsidR="00DB29AB">
        <w:rPr>
          <w:rFonts w:ascii="Times New Roman" w:hAnsi="Times New Roman" w:cs="Times New Roman"/>
          <w:sz w:val="24"/>
          <w:szCs w:val="24"/>
        </w:rPr>
        <w:t>)</w:t>
      </w:r>
      <w:r w:rsidR="00DC6965" w:rsidRPr="002F7C94">
        <w:rPr>
          <w:rFonts w:ascii="Times New Roman" w:hAnsi="Times New Roman" w:cs="Times New Roman"/>
          <w:sz w:val="24"/>
          <w:szCs w:val="24"/>
        </w:rPr>
        <w:t xml:space="preserve">, </w:t>
      </w:r>
      <w:r w:rsidR="00DB29AB">
        <w:rPr>
          <w:rFonts w:ascii="Times New Roman" w:hAnsi="Times New Roman" w:cs="Times New Roman"/>
          <w:sz w:val="24"/>
          <w:szCs w:val="24"/>
        </w:rPr>
        <w:t>Fundación para la Innovación Agraria, (</w:t>
      </w:r>
      <w:r w:rsidR="00DC6965" w:rsidRPr="002F7C94">
        <w:rPr>
          <w:rFonts w:ascii="Times New Roman" w:hAnsi="Times New Roman" w:cs="Times New Roman"/>
          <w:sz w:val="24"/>
          <w:szCs w:val="24"/>
        </w:rPr>
        <w:t>FIA</w:t>
      </w:r>
      <w:r w:rsidR="00DB29AB">
        <w:rPr>
          <w:rFonts w:ascii="Times New Roman" w:hAnsi="Times New Roman" w:cs="Times New Roman"/>
          <w:sz w:val="24"/>
          <w:szCs w:val="24"/>
        </w:rPr>
        <w:t>),</w:t>
      </w:r>
      <w:r w:rsidR="00DC6965" w:rsidRPr="002F7C94">
        <w:rPr>
          <w:rFonts w:ascii="Times New Roman" w:hAnsi="Times New Roman" w:cs="Times New Roman"/>
          <w:sz w:val="24"/>
          <w:szCs w:val="24"/>
        </w:rPr>
        <w:t xml:space="preserve"> entre otras. </w:t>
      </w:r>
    </w:p>
    <w:p w14:paraId="4A47374E" w14:textId="5EA7A51D" w:rsidR="005C024F" w:rsidRDefault="00D51929" w:rsidP="00450B14">
      <w:pPr>
        <w:jc w:val="both"/>
        <w:rPr>
          <w:rFonts w:ascii="Times New Roman" w:hAnsi="Times New Roman" w:cs="Times New Roman"/>
          <w:sz w:val="24"/>
          <w:szCs w:val="24"/>
        </w:rPr>
      </w:pPr>
      <w:r w:rsidRPr="002F7C94">
        <w:rPr>
          <w:rFonts w:ascii="Times New Roman" w:hAnsi="Times New Roman" w:cs="Times New Roman"/>
          <w:sz w:val="24"/>
          <w:szCs w:val="24"/>
        </w:rPr>
        <w:t>Uno de los ejes princ</w:t>
      </w:r>
      <w:r w:rsidR="004C7C67" w:rsidRPr="002F7C94">
        <w:rPr>
          <w:rFonts w:ascii="Times New Roman" w:hAnsi="Times New Roman" w:cs="Times New Roman"/>
          <w:sz w:val="24"/>
          <w:szCs w:val="24"/>
        </w:rPr>
        <w:t>ipales que busca fomentar el SNI</w:t>
      </w:r>
      <w:r w:rsidRPr="002F7C94">
        <w:rPr>
          <w:rFonts w:ascii="Times New Roman" w:hAnsi="Times New Roman" w:cs="Times New Roman"/>
          <w:sz w:val="24"/>
          <w:szCs w:val="24"/>
        </w:rPr>
        <w:t xml:space="preserve"> es la realización de innovaciones con</w:t>
      </w:r>
      <w:r w:rsidR="00A0067E" w:rsidRPr="002F7C94">
        <w:rPr>
          <w:rFonts w:ascii="Times New Roman" w:hAnsi="Times New Roman" w:cs="Times New Roman"/>
          <w:sz w:val="24"/>
          <w:szCs w:val="24"/>
        </w:rPr>
        <w:t>c</w:t>
      </w:r>
      <w:r w:rsidRPr="002F7C94">
        <w:rPr>
          <w:rFonts w:ascii="Times New Roman" w:hAnsi="Times New Roman" w:cs="Times New Roman"/>
          <w:sz w:val="24"/>
          <w:szCs w:val="24"/>
        </w:rPr>
        <w:t>retas</w:t>
      </w:r>
      <w:r w:rsidR="004C7C67" w:rsidRPr="002F7C94">
        <w:rPr>
          <w:rFonts w:ascii="Times New Roman" w:hAnsi="Times New Roman" w:cs="Times New Roman"/>
          <w:sz w:val="24"/>
          <w:szCs w:val="24"/>
        </w:rPr>
        <w:t xml:space="preserve"> con foco en integrar conocimiento al quehacer productivo de las firmas nacionales</w:t>
      </w:r>
      <w:r w:rsidR="002E4AFA" w:rsidRPr="002F7C94">
        <w:rPr>
          <w:rFonts w:ascii="Times New Roman" w:hAnsi="Times New Roman" w:cs="Times New Roman"/>
          <w:sz w:val="24"/>
          <w:szCs w:val="24"/>
        </w:rPr>
        <w:t>.</w:t>
      </w:r>
      <w:r w:rsidRPr="002F7C94">
        <w:rPr>
          <w:rFonts w:ascii="Times New Roman" w:hAnsi="Times New Roman" w:cs="Times New Roman"/>
          <w:sz w:val="24"/>
          <w:szCs w:val="24"/>
        </w:rPr>
        <w:t xml:space="preserve">  </w:t>
      </w:r>
      <w:r w:rsidR="00976C44" w:rsidRPr="002F7C94">
        <w:rPr>
          <w:rFonts w:ascii="Times New Roman" w:hAnsi="Times New Roman" w:cs="Times New Roman"/>
          <w:sz w:val="24"/>
          <w:szCs w:val="24"/>
        </w:rPr>
        <w:t xml:space="preserve">La innovación tiene su génesis en el desarrollo </w:t>
      </w:r>
      <w:r w:rsidR="00040C34" w:rsidRPr="002F7C94">
        <w:rPr>
          <w:rFonts w:ascii="Times New Roman" w:hAnsi="Times New Roman" w:cs="Times New Roman"/>
          <w:sz w:val="24"/>
          <w:szCs w:val="24"/>
        </w:rPr>
        <w:t xml:space="preserve">de actividades </w:t>
      </w:r>
      <w:proofErr w:type="spellStart"/>
      <w:r w:rsidR="00040C34" w:rsidRPr="002F7C94">
        <w:rPr>
          <w:rFonts w:ascii="Times New Roman" w:hAnsi="Times New Roman" w:cs="Times New Roman"/>
          <w:sz w:val="24"/>
          <w:szCs w:val="24"/>
        </w:rPr>
        <w:t>innovativas</w:t>
      </w:r>
      <w:proofErr w:type="spellEnd"/>
      <w:r w:rsidR="004C7C67" w:rsidRPr="002F7C94">
        <w:rPr>
          <w:rFonts w:ascii="Times New Roman" w:hAnsi="Times New Roman" w:cs="Times New Roman"/>
          <w:sz w:val="24"/>
          <w:szCs w:val="24"/>
        </w:rPr>
        <w:t>, donde se diferencian dos raíces de la innovación, p</w:t>
      </w:r>
      <w:r w:rsidR="00CD4AA9">
        <w:rPr>
          <w:rFonts w:ascii="Times New Roman" w:hAnsi="Times New Roman" w:cs="Times New Roman"/>
          <w:sz w:val="24"/>
          <w:szCs w:val="24"/>
        </w:rPr>
        <w:t>or un lado, innovaciones espontá</w:t>
      </w:r>
      <w:r w:rsidR="004C7C67" w:rsidRPr="002F7C94">
        <w:rPr>
          <w:rFonts w:ascii="Times New Roman" w:hAnsi="Times New Roman" w:cs="Times New Roman"/>
          <w:sz w:val="24"/>
          <w:szCs w:val="24"/>
        </w:rPr>
        <w:t>neas, las cuales no requieren de proceso iterativo previo, y por otr</w:t>
      </w:r>
      <w:r w:rsidR="00CD4AA9">
        <w:rPr>
          <w:rFonts w:ascii="Times New Roman" w:hAnsi="Times New Roman" w:cs="Times New Roman"/>
          <w:sz w:val="24"/>
          <w:szCs w:val="24"/>
        </w:rPr>
        <w:t>o, las innovaciones basadas en i</w:t>
      </w:r>
      <w:r w:rsidR="004C7C67" w:rsidRPr="002F7C94">
        <w:rPr>
          <w:rFonts w:ascii="Times New Roman" w:hAnsi="Times New Roman" w:cs="Times New Roman"/>
          <w:sz w:val="24"/>
          <w:szCs w:val="24"/>
        </w:rPr>
        <w:t>n</w:t>
      </w:r>
      <w:r w:rsidR="00A615D9" w:rsidRPr="002F7C94">
        <w:rPr>
          <w:rFonts w:ascii="Times New Roman" w:hAnsi="Times New Roman" w:cs="Times New Roman"/>
          <w:sz w:val="24"/>
          <w:szCs w:val="24"/>
        </w:rPr>
        <w:t>vestigación y desarrollo (I+D)</w:t>
      </w:r>
      <w:r w:rsidR="0084426A" w:rsidRPr="002F7C94">
        <w:rPr>
          <w:rFonts w:ascii="Times New Roman" w:hAnsi="Times New Roman" w:cs="Times New Roman"/>
          <w:sz w:val="24"/>
          <w:szCs w:val="24"/>
        </w:rPr>
        <w:t>. Tanto la investigación básica, aplicada</w:t>
      </w:r>
      <w:r w:rsidR="00040C34" w:rsidRPr="002F7C94">
        <w:rPr>
          <w:rFonts w:ascii="Times New Roman" w:hAnsi="Times New Roman" w:cs="Times New Roman"/>
          <w:sz w:val="24"/>
          <w:szCs w:val="24"/>
        </w:rPr>
        <w:t>,</w:t>
      </w:r>
      <w:r w:rsidR="0084426A" w:rsidRPr="002F7C94">
        <w:rPr>
          <w:rFonts w:ascii="Times New Roman" w:hAnsi="Times New Roman" w:cs="Times New Roman"/>
          <w:sz w:val="24"/>
          <w:szCs w:val="24"/>
        </w:rPr>
        <w:t xml:space="preserve"> como los desarrollos experimentales </w:t>
      </w:r>
      <w:r w:rsidR="00342F81" w:rsidRPr="002F7C94">
        <w:rPr>
          <w:rFonts w:ascii="Times New Roman" w:hAnsi="Times New Roman" w:cs="Times New Roman"/>
          <w:sz w:val="24"/>
          <w:szCs w:val="24"/>
        </w:rPr>
        <w:t>son pot</w:t>
      </w:r>
      <w:r w:rsidR="0020327D">
        <w:rPr>
          <w:rFonts w:ascii="Times New Roman" w:hAnsi="Times New Roman" w:cs="Times New Roman"/>
          <w:sz w:val="24"/>
          <w:szCs w:val="24"/>
        </w:rPr>
        <w:t xml:space="preserve">enciales actividades </w:t>
      </w:r>
      <w:proofErr w:type="spellStart"/>
      <w:r w:rsidR="0020327D">
        <w:rPr>
          <w:rFonts w:ascii="Times New Roman" w:hAnsi="Times New Roman" w:cs="Times New Roman"/>
          <w:sz w:val="24"/>
          <w:szCs w:val="24"/>
        </w:rPr>
        <w:t>innovativas</w:t>
      </w:r>
      <w:proofErr w:type="spellEnd"/>
      <w:r w:rsidR="00342F81" w:rsidRPr="002F7C94">
        <w:rPr>
          <w:rFonts w:ascii="Times New Roman" w:hAnsi="Times New Roman" w:cs="Times New Roman"/>
          <w:sz w:val="24"/>
          <w:szCs w:val="24"/>
        </w:rPr>
        <w:t xml:space="preserve">, las cuales no pueden tener impacto real </w:t>
      </w:r>
      <w:r w:rsidR="00CD4AA9">
        <w:rPr>
          <w:rFonts w:ascii="Times New Roman" w:hAnsi="Times New Roman" w:cs="Times New Roman"/>
          <w:sz w:val="24"/>
          <w:szCs w:val="24"/>
        </w:rPr>
        <w:t>sin financiamiento.</w:t>
      </w:r>
      <w:r w:rsidR="00342F81" w:rsidRPr="002F7C94">
        <w:rPr>
          <w:rFonts w:ascii="Times New Roman" w:hAnsi="Times New Roman" w:cs="Times New Roman"/>
          <w:sz w:val="24"/>
          <w:szCs w:val="24"/>
        </w:rPr>
        <w:t xml:space="preserve"> </w:t>
      </w:r>
    </w:p>
    <w:p w14:paraId="60762519" w14:textId="15EF9B67" w:rsidR="00450B14" w:rsidRPr="00450B14" w:rsidRDefault="00450B14" w:rsidP="00450B14">
      <w:pPr>
        <w:jc w:val="both"/>
        <w:rPr>
          <w:rFonts w:ascii="Times New Roman" w:hAnsi="Times New Roman" w:cs="Times New Roman"/>
          <w:sz w:val="24"/>
          <w:szCs w:val="24"/>
        </w:rPr>
      </w:pPr>
      <w:r>
        <w:rPr>
          <w:rFonts w:ascii="Times New Roman" w:hAnsi="Times New Roman" w:cs="Times New Roman"/>
          <w:sz w:val="24"/>
          <w:szCs w:val="24"/>
        </w:rPr>
        <w:t>La evidencia internacional muestra una relación positiva (ver Gráfico 1.3) entre gasto en I+D total de un país como porcentaje del PIB y el gasto financiado por el sector privado.</w:t>
      </w:r>
    </w:p>
    <w:p w14:paraId="083810C1" w14:textId="3626ED57" w:rsidR="005C024F" w:rsidRPr="006A0175" w:rsidRDefault="005C024F" w:rsidP="005C024F">
      <w:pPr>
        <w:pStyle w:val="Sinespaciado"/>
        <w:jc w:val="center"/>
        <w:rPr>
          <w:rFonts w:ascii="Times New Roman" w:hAnsi="Times New Roman"/>
          <w:sz w:val="24"/>
          <w:szCs w:val="24"/>
          <w:u w:val="single"/>
          <w:lang w:val="es-ES"/>
        </w:rPr>
      </w:pPr>
      <w:r w:rsidRPr="006A0175">
        <w:rPr>
          <w:rFonts w:ascii="Times New Roman" w:hAnsi="Times New Roman"/>
          <w:sz w:val="24"/>
          <w:szCs w:val="24"/>
          <w:u w:val="single"/>
          <w:lang w:val="es-ES"/>
        </w:rPr>
        <w:t>G</w:t>
      </w:r>
      <w:r w:rsidR="00450B14">
        <w:rPr>
          <w:rFonts w:ascii="Times New Roman" w:hAnsi="Times New Roman"/>
          <w:sz w:val="24"/>
          <w:szCs w:val="24"/>
          <w:u w:val="single"/>
          <w:lang w:val="es-ES"/>
        </w:rPr>
        <w:t>ráfico 1.3</w:t>
      </w:r>
      <w:r w:rsidRPr="006A0175">
        <w:rPr>
          <w:rFonts w:ascii="Times New Roman" w:hAnsi="Times New Roman"/>
          <w:sz w:val="24"/>
          <w:szCs w:val="24"/>
          <w:u w:val="single"/>
          <w:lang w:val="es-ES"/>
        </w:rPr>
        <w:t>: Relación entre gasto en I+D sobre PIB y gasto en I+D financiado por empresas (2012 o último año disponible)</w:t>
      </w:r>
    </w:p>
    <w:p w14:paraId="69E7665F" w14:textId="77777777" w:rsidR="005C024F" w:rsidRPr="006A0175" w:rsidRDefault="005C024F" w:rsidP="005C024F">
      <w:pPr>
        <w:pStyle w:val="Sinespaciado"/>
        <w:jc w:val="both"/>
        <w:rPr>
          <w:rFonts w:ascii="Times New Roman" w:hAnsi="Times New Roman"/>
          <w:sz w:val="24"/>
          <w:szCs w:val="24"/>
        </w:rPr>
      </w:pPr>
      <w:r w:rsidRPr="006A0175">
        <w:rPr>
          <w:rFonts w:ascii="Times New Roman" w:hAnsi="Times New Roman"/>
          <w:noProof/>
          <w:sz w:val="24"/>
          <w:szCs w:val="24"/>
        </w:rPr>
        <w:drawing>
          <wp:inline distT="0" distB="0" distL="0" distR="0" wp14:anchorId="2EAAD8C3" wp14:editId="4F4A6F72">
            <wp:extent cx="5686425" cy="298132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B20DD5" w14:textId="45D00778" w:rsidR="005C024F" w:rsidRDefault="005C024F" w:rsidP="00AA3A03">
      <w:pPr>
        <w:pStyle w:val="Sinespaciado"/>
        <w:jc w:val="both"/>
        <w:rPr>
          <w:rFonts w:ascii="Times New Roman" w:hAnsi="Times New Roman"/>
          <w:sz w:val="20"/>
          <w:szCs w:val="20"/>
        </w:rPr>
      </w:pPr>
      <w:r w:rsidRPr="005C024F">
        <w:rPr>
          <w:rFonts w:ascii="Times New Roman" w:hAnsi="Times New Roman"/>
          <w:sz w:val="20"/>
          <w:szCs w:val="20"/>
        </w:rPr>
        <w:t xml:space="preserve">Fuente: </w:t>
      </w:r>
      <w:r>
        <w:rPr>
          <w:rFonts w:ascii="Times New Roman" w:hAnsi="Times New Roman"/>
          <w:sz w:val="20"/>
          <w:szCs w:val="20"/>
        </w:rPr>
        <w:t xml:space="preserve">Elaboración propia en basa a </w:t>
      </w:r>
      <w:r w:rsidRPr="005C024F">
        <w:rPr>
          <w:rFonts w:ascii="Times New Roman" w:hAnsi="Times New Roman"/>
          <w:sz w:val="20"/>
          <w:szCs w:val="20"/>
        </w:rPr>
        <w:t xml:space="preserve">OCDE (MSTI </w:t>
      </w:r>
      <w:proofErr w:type="spellStart"/>
      <w:r w:rsidRPr="005C024F">
        <w:rPr>
          <w:rFonts w:ascii="Times New Roman" w:hAnsi="Times New Roman"/>
          <w:sz w:val="20"/>
          <w:szCs w:val="20"/>
        </w:rPr>
        <w:t>database</w:t>
      </w:r>
      <w:proofErr w:type="spellEnd"/>
      <w:r w:rsidRPr="005C024F">
        <w:rPr>
          <w:rFonts w:ascii="Times New Roman" w:hAnsi="Times New Roman"/>
          <w:sz w:val="20"/>
          <w:szCs w:val="20"/>
        </w:rPr>
        <w:t>).</w:t>
      </w:r>
    </w:p>
    <w:p w14:paraId="58BB6441" w14:textId="77777777" w:rsidR="00AA3A03" w:rsidRPr="00AA3A03" w:rsidRDefault="00AA3A03" w:rsidP="00AA3A03">
      <w:pPr>
        <w:pStyle w:val="Sinespaciado"/>
        <w:jc w:val="both"/>
        <w:rPr>
          <w:rFonts w:ascii="Times New Roman" w:hAnsi="Times New Roman"/>
          <w:sz w:val="20"/>
          <w:szCs w:val="20"/>
        </w:rPr>
      </w:pPr>
    </w:p>
    <w:p w14:paraId="0FB9833B" w14:textId="5E7CFB85" w:rsidR="005C024F" w:rsidRPr="002F7C94" w:rsidRDefault="000705C1" w:rsidP="002F7C94">
      <w:pPr>
        <w:jc w:val="both"/>
        <w:rPr>
          <w:rFonts w:ascii="Times New Roman" w:hAnsi="Times New Roman" w:cs="Times New Roman"/>
          <w:sz w:val="24"/>
          <w:szCs w:val="24"/>
        </w:rPr>
      </w:pPr>
      <w:r w:rsidRPr="002F7C94">
        <w:rPr>
          <w:rFonts w:ascii="Times New Roman" w:hAnsi="Times New Roman" w:cs="Times New Roman"/>
          <w:sz w:val="24"/>
          <w:szCs w:val="24"/>
        </w:rPr>
        <w:t>El 0,3</w:t>
      </w:r>
      <w:r w:rsidR="000F4F54" w:rsidRPr="002F7C94">
        <w:rPr>
          <w:rFonts w:ascii="Times New Roman" w:hAnsi="Times New Roman" w:cs="Times New Roman"/>
          <w:sz w:val="24"/>
          <w:szCs w:val="24"/>
        </w:rPr>
        <w:t>8</w:t>
      </w:r>
      <w:r w:rsidR="00EF70D2" w:rsidRPr="002F7C94">
        <w:rPr>
          <w:rFonts w:ascii="Times New Roman" w:hAnsi="Times New Roman" w:cs="Times New Roman"/>
          <w:sz w:val="24"/>
          <w:szCs w:val="24"/>
        </w:rPr>
        <w:t xml:space="preserve">% de gasto en I+D sobre PIB que se gasta en Chile </w:t>
      </w:r>
      <w:r w:rsidR="00DB29AB">
        <w:rPr>
          <w:rFonts w:ascii="Times New Roman" w:hAnsi="Times New Roman" w:cs="Times New Roman"/>
          <w:sz w:val="24"/>
          <w:szCs w:val="24"/>
        </w:rPr>
        <w:t xml:space="preserve">(2014) </w:t>
      </w:r>
      <w:r w:rsidR="00EF70D2" w:rsidRPr="002F7C94">
        <w:rPr>
          <w:rFonts w:ascii="Times New Roman" w:hAnsi="Times New Roman" w:cs="Times New Roman"/>
          <w:sz w:val="24"/>
          <w:szCs w:val="24"/>
        </w:rPr>
        <w:t xml:space="preserve">puesto en perspectiva internacional, es escaso. </w:t>
      </w:r>
      <w:r w:rsidR="00DE7EA4" w:rsidRPr="002F7C94">
        <w:rPr>
          <w:rFonts w:ascii="Times New Roman" w:hAnsi="Times New Roman" w:cs="Times New Roman"/>
          <w:sz w:val="24"/>
          <w:szCs w:val="24"/>
        </w:rPr>
        <w:t xml:space="preserve">En general, para los </w:t>
      </w:r>
      <w:r w:rsidR="00EF70D2" w:rsidRPr="002F7C94">
        <w:rPr>
          <w:rFonts w:ascii="Times New Roman" w:hAnsi="Times New Roman" w:cs="Times New Roman"/>
          <w:sz w:val="24"/>
          <w:szCs w:val="24"/>
        </w:rPr>
        <w:t xml:space="preserve">países que superan el 1,5% del gasto en I+D </w:t>
      </w:r>
      <w:r w:rsidR="00EF70D2" w:rsidRPr="002F7C94">
        <w:rPr>
          <w:rFonts w:ascii="Times New Roman" w:hAnsi="Times New Roman" w:cs="Times New Roman"/>
          <w:sz w:val="24"/>
          <w:szCs w:val="24"/>
        </w:rPr>
        <w:lastRenderedPageBreak/>
        <w:t>sobre PIB, son las empresas privadas las que lideran el gasto sobre el Estado. Converger hacia la media OCDE en gast</w:t>
      </w:r>
      <w:r w:rsidR="002A4EBF" w:rsidRPr="002F7C94">
        <w:rPr>
          <w:rFonts w:ascii="Times New Roman" w:hAnsi="Times New Roman" w:cs="Times New Roman"/>
          <w:sz w:val="24"/>
          <w:szCs w:val="24"/>
        </w:rPr>
        <w:t>o en I+D sobre PIB de 2,4</w:t>
      </w:r>
      <w:r w:rsidR="00DE7EA4" w:rsidRPr="002F7C94">
        <w:rPr>
          <w:rFonts w:ascii="Times New Roman" w:hAnsi="Times New Roman" w:cs="Times New Roman"/>
          <w:sz w:val="24"/>
          <w:szCs w:val="24"/>
        </w:rPr>
        <w:t>% parece</w:t>
      </w:r>
      <w:r w:rsidR="00EF70D2" w:rsidRPr="002F7C94">
        <w:rPr>
          <w:rFonts w:ascii="Times New Roman" w:hAnsi="Times New Roman" w:cs="Times New Roman"/>
          <w:sz w:val="24"/>
          <w:szCs w:val="24"/>
        </w:rPr>
        <w:t xml:space="preserve"> una tarea titánica e inalca</w:t>
      </w:r>
      <w:r w:rsidR="00450B14">
        <w:rPr>
          <w:rFonts w:ascii="Times New Roman" w:hAnsi="Times New Roman" w:cs="Times New Roman"/>
          <w:sz w:val="24"/>
          <w:szCs w:val="24"/>
        </w:rPr>
        <w:t>nzable, sin embargo, necesaria. Si bien son las empresas las que debieran liderar el financiamiento del gasto en I+D en régimen</w:t>
      </w:r>
      <w:r w:rsidR="008E4259">
        <w:rPr>
          <w:rFonts w:ascii="Times New Roman" w:hAnsi="Times New Roman" w:cs="Times New Roman"/>
          <w:sz w:val="24"/>
          <w:szCs w:val="24"/>
        </w:rPr>
        <w:t xml:space="preserve">, es tarea </w:t>
      </w:r>
      <w:r w:rsidR="00DB29AB">
        <w:rPr>
          <w:rFonts w:ascii="Times New Roman" w:hAnsi="Times New Roman" w:cs="Times New Roman"/>
          <w:sz w:val="24"/>
          <w:szCs w:val="24"/>
        </w:rPr>
        <w:t>público-privada el lograr sobre</w:t>
      </w:r>
      <w:r w:rsidR="008E4259">
        <w:rPr>
          <w:rFonts w:ascii="Times New Roman" w:hAnsi="Times New Roman" w:cs="Times New Roman"/>
          <w:sz w:val="24"/>
          <w:szCs w:val="24"/>
        </w:rPr>
        <w:t>pasar el umbral del 1% del gasto en I+D sobre PIB.</w:t>
      </w:r>
    </w:p>
    <w:p w14:paraId="36E8BE8A" w14:textId="060647CE" w:rsidR="002F7C94" w:rsidRPr="002F7C94" w:rsidRDefault="002F7C94" w:rsidP="002F7C94">
      <w:pPr>
        <w:jc w:val="both"/>
        <w:rPr>
          <w:rFonts w:ascii="Times New Roman" w:hAnsi="Times New Roman" w:cs="Times New Roman"/>
          <w:sz w:val="24"/>
          <w:szCs w:val="24"/>
        </w:rPr>
      </w:pPr>
      <w:r w:rsidRPr="002F7C94">
        <w:rPr>
          <w:rFonts w:ascii="Times New Roman" w:hAnsi="Times New Roman" w:cs="Times New Roman"/>
          <w:sz w:val="24"/>
          <w:szCs w:val="24"/>
        </w:rPr>
        <w:t xml:space="preserve">El </w:t>
      </w:r>
      <w:r w:rsidR="00D675C2" w:rsidRPr="002F7C94">
        <w:rPr>
          <w:rFonts w:ascii="Times New Roman" w:hAnsi="Times New Roman" w:cs="Times New Roman"/>
          <w:sz w:val="24"/>
          <w:szCs w:val="24"/>
        </w:rPr>
        <w:t xml:space="preserve">Estado </w:t>
      </w:r>
      <w:r w:rsidR="00DE7EA4" w:rsidRPr="002F7C94">
        <w:rPr>
          <w:rFonts w:ascii="Times New Roman" w:hAnsi="Times New Roman" w:cs="Times New Roman"/>
          <w:sz w:val="24"/>
          <w:szCs w:val="24"/>
        </w:rPr>
        <w:t xml:space="preserve">chileno actualmente </w:t>
      </w:r>
      <w:r w:rsidR="002A4EBF" w:rsidRPr="002F7C94">
        <w:rPr>
          <w:rFonts w:ascii="Times New Roman" w:hAnsi="Times New Roman" w:cs="Times New Roman"/>
          <w:sz w:val="24"/>
          <w:szCs w:val="24"/>
        </w:rPr>
        <w:t xml:space="preserve">apoya </w:t>
      </w:r>
      <w:r w:rsidR="00D675C2" w:rsidRPr="002F7C94">
        <w:rPr>
          <w:rFonts w:ascii="Times New Roman" w:hAnsi="Times New Roman" w:cs="Times New Roman"/>
          <w:sz w:val="24"/>
          <w:szCs w:val="24"/>
        </w:rPr>
        <w:t>mediante instrumentos de política pública, ejecutados en su mayoría por CORFO y CONICYT</w:t>
      </w:r>
      <w:r w:rsidR="002A4EBF" w:rsidRPr="002F7C94">
        <w:rPr>
          <w:rFonts w:ascii="Times New Roman" w:hAnsi="Times New Roman" w:cs="Times New Roman"/>
          <w:sz w:val="24"/>
          <w:szCs w:val="24"/>
        </w:rPr>
        <w:t>,</w:t>
      </w:r>
      <w:r w:rsidR="00D675C2" w:rsidRPr="002F7C94">
        <w:rPr>
          <w:rFonts w:ascii="Times New Roman" w:hAnsi="Times New Roman" w:cs="Times New Roman"/>
          <w:sz w:val="24"/>
          <w:szCs w:val="24"/>
        </w:rPr>
        <w:t xml:space="preserve"> a la </w:t>
      </w:r>
      <w:r w:rsidR="002A4EBF" w:rsidRPr="002F7C94">
        <w:rPr>
          <w:rFonts w:ascii="Times New Roman" w:hAnsi="Times New Roman" w:cs="Times New Roman"/>
          <w:sz w:val="24"/>
          <w:szCs w:val="24"/>
        </w:rPr>
        <w:t>generación de I+D financiada</w:t>
      </w:r>
      <w:r w:rsidR="003C54BC" w:rsidRPr="002F7C94">
        <w:rPr>
          <w:rFonts w:ascii="Times New Roman" w:hAnsi="Times New Roman" w:cs="Times New Roman"/>
          <w:sz w:val="24"/>
          <w:szCs w:val="24"/>
        </w:rPr>
        <w:t xml:space="preserve"> </w:t>
      </w:r>
      <w:r w:rsidR="000F4F54" w:rsidRPr="002F7C94">
        <w:rPr>
          <w:rFonts w:ascii="Times New Roman" w:hAnsi="Times New Roman" w:cs="Times New Roman"/>
          <w:sz w:val="24"/>
          <w:szCs w:val="24"/>
        </w:rPr>
        <w:t>mediante</w:t>
      </w:r>
      <w:r w:rsidR="003C54BC" w:rsidRPr="002F7C94">
        <w:rPr>
          <w:rFonts w:ascii="Times New Roman" w:hAnsi="Times New Roman" w:cs="Times New Roman"/>
          <w:sz w:val="24"/>
          <w:szCs w:val="24"/>
        </w:rPr>
        <w:t xml:space="preserve"> transfe</w:t>
      </w:r>
      <w:r w:rsidR="002A4EBF" w:rsidRPr="002F7C94">
        <w:rPr>
          <w:rFonts w:ascii="Times New Roman" w:hAnsi="Times New Roman" w:cs="Times New Roman"/>
          <w:sz w:val="24"/>
          <w:szCs w:val="24"/>
        </w:rPr>
        <w:t>rencias directas de recursos. Este tipo de apoyo</w:t>
      </w:r>
      <w:r w:rsidR="003C54BC" w:rsidRPr="002F7C94">
        <w:rPr>
          <w:rFonts w:ascii="Times New Roman" w:hAnsi="Times New Roman" w:cs="Times New Roman"/>
          <w:sz w:val="24"/>
          <w:szCs w:val="24"/>
        </w:rPr>
        <w:t>, subsidios públicos al gasto en I+D, es la</w:t>
      </w:r>
      <w:r w:rsidRPr="002F7C94">
        <w:rPr>
          <w:rFonts w:ascii="Times New Roman" w:hAnsi="Times New Roman" w:cs="Times New Roman"/>
          <w:sz w:val="24"/>
          <w:szCs w:val="24"/>
        </w:rPr>
        <w:t xml:space="preserve"> alternativa más u</w:t>
      </w:r>
      <w:r w:rsidR="00DB29AB">
        <w:rPr>
          <w:rFonts w:ascii="Times New Roman" w:hAnsi="Times New Roman" w:cs="Times New Roman"/>
          <w:sz w:val="24"/>
          <w:szCs w:val="24"/>
        </w:rPr>
        <w:t xml:space="preserve">sada en Chile, pero no la única: </w:t>
      </w:r>
      <w:r w:rsidR="003C54BC" w:rsidRPr="002F7C94">
        <w:rPr>
          <w:rFonts w:ascii="Times New Roman" w:hAnsi="Times New Roman" w:cs="Times New Roman"/>
          <w:sz w:val="24"/>
          <w:szCs w:val="24"/>
        </w:rPr>
        <w:t>en el año 2008 se creó el primer instrumento de apoyo ind</w:t>
      </w:r>
      <w:r w:rsidR="006F7A1C" w:rsidRPr="002F7C94">
        <w:rPr>
          <w:rFonts w:ascii="Times New Roman" w:hAnsi="Times New Roman" w:cs="Times New Roman"/>
          <w:sz w:val="24"/>
          <w:szCs w:val="24"/>
        </w:rPr>
        <w:t>irecto al financiamiento de I+D;</w:t>
      </w:r>
      <w:r w:rsidR="003C54BC" w:rsidRPr="002F7C94">
        <w:rPr>
          <w:rFonts w:ascii="Times New Roman" w:hAnsi="Times New Roman" w:cs="Times New Roman"/>
          <w:sz w:val="24"/>
          <w:szCs w:val="24"/>
        </w:rPr>
        <w:t xml:space="preserve"> la ley de incentivo tributari</w:t>
      </w:r>
      <w:r w:rsidRPr="002F7C94">
        <w:rPr>
          <w:rFonts w:ascii="Times New Roman" w:hAnsi="Times New Roman" w:cs="Times New Roman"/>
          <w:sz w:val="24"/>
          <w:szCs w:val="24"/>
        </w:rPr>
        <w:t>o a la inversión privada en I+D.</w:t>
      </w:r>
    </w:p>
    <w:p w14:paraId="2A347965" w14:textId="01EEED81" w:rsidR="00E31432" w:rsidRPr="002F7C94" w:rsidRDefault="00DB29AB" w:rsidP="002E2342">
      <w:pPr>
        <w:pStyle w:val="Ttulo1"/>
      </w:pPr>
      <w:bookmarkStart w:id="5" w:name="_Toc470081849"/>
      <w:r>
        <w:t>Ley de Incentivo T</w:t>
      </w:r>
      <w:r w:rsidR="00E31432" w:rsidRPr="006A0175">
        <w:t>ributario a la I+D</w:t>
      </w:r>
      <w:bookmarkEnd w:id="5"/>
    </w:p>
    <w:p w14:paraId="763CE60B" w14:textId="0DB00D1A" w:rsidR="002F7C94" w:rsidRPr="002F7C94" w:rsidRDefault="002F7C94" w:rsidP="00FC686F">
      <w:pPr>
        <w:pStyle w:val="Ttulo2"/>
        <w:numPr>
          <w:ilvl w:val="0"/>
          <w:numId w:val="7"/>
        </w:numPr>
      </w:pPr>
      <w:bookmarkStart w:id="6" w:name="_Toc470081850"/>
      <w:r w:rsidRPr="002F7C94">
        <w:t>El mecanismo</w:t>
      </w:r>
      <w:bookmarkEnd w:id="6"/>
    </w:p>
    <w:p w14:paraId="41B7B18A" w14:textId="31FEF587" w:rsidR="00E706AF" w:rsidRPr="00AA3A03" w:rsidRDefault="006B7D45" w:rsidP="00AA3A03">
      <w:pPr>
        <w:jc w:val="both"/>
        <w:rPr>
          <w:rFonts w:ascii="Times New Roman" w:hAnsi="Times New Roman" w:cs="Times New Roman"/>
          <w:sz w:val="24"/>
          <w:szCs w:val="24"/>
        </w:rPr>
      </w:pPr>
      <w:r w:rsidRPr="006A0175">
        <w:rPr>
          <w:rFonts w:ascii="Times New Roman" w:hAnsi="Times New Roman" w:cs="Times New Roman"/>
          <w:sz w:val="24"/>
          <w:szCs w:val="24"/>
        </w:rPr>
        <w:t xml:space="preserve">El </w:t>
      </w:r>
      <w:r w:rsidR="00EF381B" w:rsidRPr="006A0175">
        <w:rPr>
          <w:rFonts w:ascii="Times New Roman" w:hAnsi="Times New Roman" w:cs="Times New Roman"/>
          <w:sz w:val="24"/>
          <w:szCs w:val="24"/>
        </w:rPr>
        <w:t>19</w:t>
      </w:r>
      <w:r w:rsidRPr="006A0175">
        <w:rPr>
          <w:rFonts w:ascii="Times New Roman" w:hAnsi="Times New Roman" w:cs="Times New Roman"/>
          <w:sz w:val="24"/>
          <w:szCs w:val="24"/>
        </w:rPr>
        <w:t xml:space="preserve"> de ener</w:t>
      </w:r>
      <w:r w:rsidR="00CD4AA9">
        <w:rPr>
          <w:rFonts w:ascii="Times New Roman" w:hAnsi="Times New Roman" w:cs="Times New Roman"/>
          <w:sz w:val="24"/>
          <w:szCs w:val="24"/>
        </w:rPr>
        <w:t>o de 2008 entró en vigencia la l</w:t>
      </w:r>
      <w:r w:rsidR="00EF381B" w:rsidRPr="006A0175">
        <w:rPr>
          <w:rFonts w:ascii="Times New Roman" w:hAnsi="Times New Roman" w:cs="Times New Roman"/>
          <w:sz w:val="24"/>
          <w:szCs w:val="24"/>
        </w:rPr>
        <w:t>ey 20.241</w:t>
      </w:r>
      <w:r w:rsidR="00321541" w:rsidRPr="006A0175">
        <w:rPr>
          <w:rFonts w:ascii="Times New Roman" w:hAnsi="Times New Roman" w:cs="Times New Roman"/>
          <w:sz w:val="24"/>
          <w:szCs w:val="24"/>
        </w:rPr>
        <w:t xml:space="preserve"> estableciendo un </w:t>
      </w:r>
      <w:r w:rsidRPr="006A0175">
        <w:rPr>
          <w:rFonts w:ascii="Times New Roman" w:hAnsi="Times New Roman" w:cs="Times New Roman"/>
          <w:sz w:val="24"/>
          <w:szCs w:val="24"/>
        </w:rPr>
        <w:t xml:space="preserve">incentivo tributario a la inversión privada en investigación y desarrollo. </w:t>
      </w:r>
      <w:r w:rsidR="00CD4AA9">
        <w:rPr>
          <w:rFonts w:ascii="Times New Roman" w:hAnsi="Times New Roman" w:cs="Times New Roman"/>
          <w:sz w:val="24"/>
          <w:szCs w:val="24"/>
        </w:rPr>
        <w:t>Esta l</w:t>
      </w:r>
      <w:r w:rsidRPr="006A0175">
        <w:rPr>
          <w:rFonts w:ascii="Times New Roman" w:hAnsi="Times New Roman" w:cs="Times New Roman"/>
          <w:sz w:val="24"/>
          <w:szCs w:val="24"/>
        </w:rPr>
        <w:t xml:space="preserve">ey, tiene por objetivo contribuir a mejorar la capacidad competitiva de las empresas chilenas, al establecer un incentivo tributario para la inversión en I+D realizada con </w:t>
      </w:r>
      <w:r w:rsidR="000D2C3E" w:rsidRPr="006A0175">
        <w:rPr>
          <w:rFonts w:ascii="Times New Roman" w:hAnsi="Times New Roman" w:cs="Times New Roman"/>
          <w:sz w:val="24"/>
          <w:szCs w:val="24"/>
        </w:rPr>
        <w:t xml:space="preserve">capacidades </w:t>
      </w:r>
      <w:r w:rsidRPr="006A0175">
        <w:rPr>
          <w:rFonts w:ascii="Times New Roman" w:hAnsi="Times New Roman" w:cs="Times New Roman"/>
          <w:sz w:val="24"/>
          <w:szCs w:val="24"/>
        </w:rPr>
        <w:t xml:space="preserve">de terceros, como la contratada </w:t>
      </w:r>
      <w:r w:rsidR="000D2C3E" w:rsidRPr="006A0175">
        <w:rPr>
          <w:rFonts w:ascii="Times New Roman" w:hAnsi="Times New Roman" w:cs="Times New Roman"/>
          <w:sz w:val="24"/>
          <w:szCs w:val="24"/>
        </w:rPr>
        <w:t>a un c</w:t>
      </w:r>
      <w:r w:rsidRPr="006A0175">
        <w:rPr>
          <w:rFonts w:ascii="Times New Roman" w:hAnsi="Times New Roman" w:cs="Times New Roman"/>
          <w:sz w:val="24"/>
          <w:szCs w:val="24"/>
        </w:rPr>
        <w:t>entro especializado q</w:t>
      </w:r>
      <w:r w:rsidR="000D2C3E" w:rsidRPr="006A0175">
        <w:rPr>
          <w:rFonts w:ascii="Times New Roman" w:hAnsi="Times New Roman" w:cs="Times New Roman"/>
          <w:sz w:val="24"/>
          <w:szCs w:val="24"/>
        </w:rPr>
        <w:t>ue se encuentre inscrito en el r</w:t>
      </w:r>
      <w:r w:rsidRPr="006A0175">
        <w:rPr>
          <w:rFonts w:ascii="Times New Roman" w:hAnsi="Times New Roman" w:cs="Times New Roman"/>
          <w:sz w:val="24"/>
          <w:szCs w:val="24"/>
        </w:rPr>
        <w:t>egistro de C</w:t>
      </w:r>
      <w:r w:rsidR="000D2C3E" w:rsidRPr="006A0175">
        <w:rPr>
          <w:rFonts w:ascii="Times New Roman" w:hAnsi="Times New Roman" w:cs="Times New Roman"/>
          <w:sz w:val="24"/>
          <w:szCs w:val="24"/>
        </w:rPr>
        <w:t>ORFO</w:t>
      </w:r>
      <w:r w:rsidRPr="006A0175">
        <w:rPr>
          <w:rFonts w:ascii="Times New Roman" w:hAnsi="Times New Roman" w:cs="Times New Roman"/>
          <w:sz w:val="24"/>
          <w:szCs w:val="24"/>
        </w:rPr>
        <w:t xml:space="preserve">, en el contexto de contratos o proyectos certificados por </w:t>
      </w:r>
      <w:r w:rsidR="000D2C3E" w:rsidRPr="006A0175">
        <w:rPr>
          <w:rFonts w:ascii="Times New Roman" w:hAnsi="Times New Roman" w:cs="Times New Roman"/>
          <w:sz w:val="24"/>
          <w:szCs w:val="24"/>
        </w:rPr>
        <w:t>CORFO. Las empresas que firman un acuerdo de I+D con instituciones certificadas, principalmente universidades, podían pedir una reducción de un 35% de los recursos invertidos en las iniciativas conjuntas</w:t>
      </w:r>
      <w:r w:rsidR="00AA3A03">
        <w:rPr>
          <w:rFonts w:ascii="Times New Roman" w:hAnsi="Times New Roman" w:cs="Times New Roman"/>
          <w:sz w:val="24"/>
          <w:szCs w:val="24"/>
        </w:rPr>
        <w:t xml:space="preserve"> en su base imponible</w:t>
      </w:r>
      <w:r w:rsidR="000D2C3E" w:rsidRPr="006A0175">
        <w:rPr>
          <w:rFonts w:ascii="Times New Roman" w:hAnsi="Times New Roman" w:cs="Times New Roman"/>
          <w:sz w:val="24"/>
          <w:szCs w:val="24"/>
        </w:rPr>
        <w:t xml:space="preserve">. El 65% restante </w:t>
      </w:r>
      <w:r w:rsidR="00E24DC0" w:rsidRPr="006A0175">
        <w:rPr>
          <w:rFonts w:ascii="Times New Roman" w:hAnsi="Times New Roman" w:cs="Times New Roman"/>
          <w:sz w:val="24"/>
          <w:szCs w:val="24"/>
        </w:rPr>
        <w:t>del gasto</w:t>
      </w:r>
      <w:r w:rsidR="000D2C3E" w:rsidRPr="006A0175">
        <w:rPr>
          <w:rFonts w:ascii="Times New Roman" w:hAnsi="Times New Roman" w:cs="Times New Roman"/>
          <w:sz w:val="24"/>
          <w:szCs w:val="24"/>
        </w:rPr>
        <w:t xml:space="preserve"> en I+D</w:t>
      </w:r>
      <w:r w:rsidR="00E706AF" w:rsidRPr="006A0175">
        <w:rPr>
          <w:rFonts w:ascii="Times New Roman" w:hAnsi="Times New Roman" w:cs="Times New Roman"/>
          <w:sz w:val="24"/>
          <w:szCs w:val="24"/>
        </w:rPr>
        <w:t xml:space="preserve"> puede ser incluido como gasto necesario para generar la renta, lo que implica que en la práctica las empresas podían </w:t>
      </w:r>
      <w:r w:rsidR="00CD4AA9">
        <w:rPr>
          <w:rFonts w:ascii="Times New Roman" w:hAnsi="Times New Roman" w:cs="Times New Roman"/>
          <w:sz w:val="24"/>
          <w:szCs w:val="24"/>
        </w:rPr>
        <w:t>beneficiarse</w:t>
      </w:r>
      <w:r w:rsidR="00E706AF" w:rsidRPr="006A0175">
        <w:rPr>
          <w:rFonts w:ascii="Times New Roman" w:hAnsi="Times New Roman" w:cs="Times New Roman"/>
          <w:sz w:val="24"/>
          <w:szCs w:val="24"/>
        </w:rPr>
        <w:t xml:space="preserve"> de un beneficio tributario de casi la m</w:t>
      </w:r>
      <w:r w:rsidR="00860989" w:rsidRPr="006A0175">
        <w:rPr>
          <w:rFonts w:ascii="Times New Roman" w:hAnsi="Times New Roman" w:cs="Times New Roman"/>
          <w:sz w:val="24"/>
          <w:szCs w:val="24"/>
        </w:rPr>
        <w:t>itad de sus gastos en I+D, un 46</w:t>
      </w:r>
      <w:r w:rsidR="00E706AF" w:rsidRPr="006A0175">
        <w:rPr>
          <w:rFonts w:ascii="Times New Roman" w:hAnsi="Times New Roman" w:cs="Times New Roman"/>
          <w:sz w:val="24"/>
          <w:szCs w:val="24"/>
        </w:rPr>
        <w:t>,05%</w:t>
      </w:r>
      <w:r w:rsidR="00E24DC0" w:rsidRPr="00AA3A03">
        <w:rPr>
          <w:rFonts w:ascii="Times New Roman" w:hAnsi="Times New Roman" w:cs="Times New Roman"/>
          <w:sz w:val="24"/>
          <w:szCs w:val="24"/>
          <w:vertAlign w:val="superscript"/>
        </w:rPr>
        <w:footnoteReference w:id="7"/>
      </w:r>
      <w:r w:rsidR="00E706AF" w:rsidRPr="006A0175">
        <w:rPr>
          <w:rFonts w:ascii="Times New Roman" w:hAnsi="Times New Roman" w:cs="Times New Roman"/>
          <w:sz w:val="24"/>
          <w:szCs w:val="24"/>
        </w:rPr>
        <w:t>. Una modificación a la ley se introdujo en 2012, entrando en vigencia</w:t>
      </w:r>
      <w:r w:rsidR="00CD4AA9">
        <w:rPr>
          <w:rFonts w:ascii="Times New Roman" w:hAnsi="Times New Roman" w:cs="Times New Roman"/>
          <w:sz w:val="24"/>
          <w:szCs w:val="24"/>
        </w:rPr>
        <w:t xml:space="preserve"> el 7 de septiembre de 2012 la l</w:t>
      </w:r>
      <w:r w:rsidR="00321541" w:rsidRPr="006A0175">
        <w:rPr>
          <w:rFonts w:ascii="Times New Roman" w:hAnsi="Times New Roman" w:cs="Times New Roman"/>
          <w:sz w:val="24"/>
          <w:szCs w:val="24"/>
        </w:rPr>
        <w:t>ey 20.570, la cual incluyó</w:t>
      </w:r>
      <w:r w:rsidR="00E706AF" w:rsidRPr="006A0175">
        <w:rPr>
          <w:rFonts w:ascii="Times New Roman" w:hAnsi="Times New Roman" w:cs="Times New Roman"/>
          <w:sz w:val="24"/>
          <w:szCs w:val="24"/>
        </w:rPr>
        <w:t xml:space="preserve"> d</w:t>
      </w:r>
      <w:r w:rsidR="00321541" w:rsidRPr="006A0175">
        <w:rPr>
          <w:rFonts w:ascii="Times New Roman" w:hAnsi="Times New Roman" w:cs="Times New Roman"/>
          <w:sz w:val="24"/>
          <w:szCs w:val="24"/>
        </w:rPr>
        <w:t>os cambios importantes a la ley. P</w:t>
      </w:r>
      <w:r w:rsidR="00E706AF" w:rsidRPr="006A0175">
        <w:rPr>
          <w:rFonts w:ascii="Times New Roman" w:hAnsi="Times New Roman" w:cs="Times New Roman"/>
          <w:sz w:val="24"/>
          <w:szCs w:val="24"/>
        </w:rPr>
        <w:t xml:space="preserve">or un </w:t>
      </w:r>
      <w:r w:rsidR="00D911AF" w:rsidRPr="006A0175">
        <w:rPr>
          <w:rFonts w:ascii="Times New Roman" w:hAnsi="Times New Roman" w:cs="Times New Roman"/>
          <w:sz w:val="24"/>
          <w:szCs w:val="24"/>
        </w:rPr>
        <w:t>lado,</w:t>
      </w:r>
      <w:r w:rsidR="00E706AF" w:rsidRPr="006A0175">
        <w:rPr>
          <w:rFonts w:ascii="Times New Roman" w:hAnsi="Times New Roman" w:cs="Times New Roman"/>
          <w:sz w:val="24"/>
          <w:szCs w:val="24"/>
        </w:rPr>
        <w:t xml:space="preserve"> la posibilidad de certificar proyectos de I+D intr</w:t>
      </w:r>
      <w:r w:rsidR="00D911AF" w:rsidRPr="006A0175">
        <w:rPr>
          <w:rFonts w:ascii="Times New Roman" w:hAnsi="Times New Roman" w:cs="Times New Roman"/>
          <w:sz w:val="24"/>
          <w:szCs w:val="24"/>
        </w:rPr>
        <w:t>amuros, es decir, hechos con las capacidades de las propias empresas</w:t>
      </w:r>
      <w:r w:rsidR="00E706AF" w:rsidRPr="006A0175">
        <w:rPr>
          <w:rFonts w:ascii="Times New Roman" w:hAnsi="Times New Roman" w:cs="Times New Roman"/>
          <w:sz w:val="24"/>
          <w:szCs w:val="24"/>
        </w:rPr>
        <w:t xml:space="preserve"> sin necesidad de asociars</w:t>
      </w:r>
      <w:r w:rsidR="00321541" w:rsidRPr="006A0175">
        <w:rPr>
          <w:rFonts w:ascii="Times New Roman" w:hAnsi="Times New Roman" w:cs="Times New Roman"/>
          <w:sz w:val="24"/>
          <w:szCs w:val="24"/>
        </w:rPr>
        <w:t xml:space="preserve">e con centros </w:t>
      </w:r>
      <w:r w:rsidR="00AA3A03">
        <w:rPr>
          <w:rFonts w:ascii="Times New Roman" w:hAnsi="Times New Roman" w:cs="Times New Roman"/>
          <w:sz w:val="24"/>
          <w:szCs w:val="24"/>
        </w:rPr>
        <w:t xml:space="preserve">proveedores </w:t>
      </w:r>
      <w:r w:rsidR="00321541" w:rsidRPr="006A0175">
        <w:rPr>
          <w:rFonts w:ascii="Times New Roman" w:hAnsi="Times New Roman" w:cs="Times New Roman"/>
          <w:sz w:val="24"/>
          <w:szCs w:val="24"/>
        </w:rPr>
        <w:t xml:space="preserve">de conocimiento. Mientras </w:t>
      </w:r>
      <w:r w:rsidR="00D911AF" w:rsidRPr="006A0175">
        <w:rPr>
          <w:rFonts w:ascii="Times New Roman" w:hAnsi="Times New Roman" w:cs="Times New Roman"/>
          <w:sz w:val="24"/>
          <w:szCs w:val="24"/>
        </w:rPr>
        <w:t>que,</w:t>
      </w:r>
      <w:r w:rsidR="00E706AF" w:rsidRPr="006A0175">
        <w:rPr>
          <w:rFonts w:ascii="Times New Roman" w:hAnsi="Times New Roman" w:cs="Times New Roman"/>
          <w:sz w:val="24"/>
          <w:szCs w:val="24"/>
        </w:rPr>
        <w:t xml:space="preserve"> por otro lado, simplificó considerablemente</w:t>
      </w:r>
      <w:r w:rsidR="00070CC2">
        <w:rPr>
          <w:rFonts w:ascii="Times New Roman" w:hAnsi="Times New Roman" w:cs="Times New Roman"/>
          <w:sz w:val="24"/>
          <w:szCs w:val="24"/>
        </w:rPr>
        <w:t xml:space="preserve"> los requisititos para acceder a la ley y</w:t>
      </w:r>
      <w:r w:rsidR="00E706AF" w:rsidRPr="006A0175">
        <w:rPr>
          <w:rFonts w:ascii="Times New Roman" w:hAnsi="Times New Roman" w:cs="Times New Roman"/>
          <w:sz w:val="24"/>
          <w:szCs w:val="24"/>
        </w:rPr>
        <w:t xml:space="preserve"> el proceso administrativo </w:t>
      </w:r>
      <w:r w:rsidR="00D911AF" w:rsidRPr="006A0175">
        <w:rPr>
          <w:rFonts w:ascii="Times New Roman" w:hAnsi="Times New Roman" w:cs="Times New Roman"/>
          <w:sz w:val="24"/>
          <w:szCs w:val="24"/>
        </w:rPr>
        <w:t>mediante</w:t>
      </w:r>
      <w:r w:rsidR="00E706AF" w:rsidRPr="006A0175">
        <w:rPr>
          <w:rFonts w:ascii="Times New Roman" w:hAnsi="Times New Roman" w:cs="Times New Roman"/>
          <w:sz w:val="24"/>
          <w:szCs w:val="24"/>
        </w:rPr>
        <w:t xml:space="preserve"> e</w:t>
      </w:r>
      <w:r w:rsidR="00AA3A03">
        <w:rPr>
          <w:rFonts w:ascii="Times New Roman" w:hAnsi="Times New Roman" w:cs="Times New Roman"/>
          <w:sz w:val="24"/>
          <w:szCs w:val="24"/>
        </w:rPr>
        <w:t>l cual se accedía al beneficio</w:t>
      </w:r>
      <w:r w:rsidR="00070CC2">
        <w:rPr>
          <w:rFonts w:ascii="Times New Roman" w:hAnsi="Times New Roman" w:cs="Times New Roman"/>
          <w:sz w:val="24"/>
          <w:szCs w:val="24"/>
        </w:rPr>
        <w:t xml:space="preserve"> y sus procesos respectivos</w:t>
      </w:r>
      <w:r w:rsidR="00AA3A03">
        <w:rPr>
          <w:rFonts w:ascii="Times New Roman" w:hAnsi="Times New Roman" w:cs="Times New Roman"/>
          <w:sz w:val="24"/>
          <w:szCs w:val="24"/>
        </w:rPr>
        <w:t>, haciendo más amigable y expedita la postulación para las empresas.</w:t>
      </w:r>
      <w:r w:rsidR="00070CC2">
        <w:rPr>
          <w:rFonts w:ascii="Times New Roman" w:hAnsi="Times New Roman" w:cs="Times New Roman"/>
          <w:sz w:val="24"/>
          <w:szCs w:val="24"/>
        </w:rPr>
        <w:t xml:space="preserve"> </w:t>
      </w:r>
    </w:p>
    <w:p w14:paraId="3362E7E2" w14:textId="125DB0E6" w:rsidR="0078535E" w:rsidRPr="006A0175" w:rsidRDefault="00E706AF" w:rsidP="002F7C94">
      <w:pPr>
        <w:jc w:val="both"/>
        <w:rPr>
          <w:rFonts w:ascii="Times New Roman" w:hAnsi="Times New Roman" w:cs="Times New Roman"/>
          <w:sz w:val="24"/>
          <w:szCs w:val="24"/>
        </w:rPr>
      </w:pPr>
      <w:r w:rsidRPr="006A0175">
        <w:rPr>
          <w:rFonts w:ascii="Times New Roman" w:hAnsi="Times New Roman" w:cs="Times New Roman"/>
          <w:sz w:val="24"/>
          <w:szCs w:val="24"/>
        </w:rPr>
        <w:t>En la actualidad</w:t>
      </w:r>
      <w:r w:rsidRPr="00AA3A03">
        <w:rPr>
          <w:rFonts w:ascii="Times New Roman" w:hAnsi="Times New Roman" w:cs="Times New Roman"/>
          <w:sz w:val="24"/>
          <w:szCs w:val="24"/>
          <w:vertAlign w:val="superscript"/>
        </w:rPr>
        <w:footnoteReference w:id="8"/>
      </w:r>
      <w:r w:rsidR="0078535E" w:rsidRPr="006A0175">
        <w:rPr>
          <w:rFonts w:ascii="Times New Roman" w:hAnsi="Times New Roman" w:cs="Times New Roman"/>
          <w:sz w:val="24"/>
          <w:szCs w:val="24"/>
        </w:rPr>
        <w:t xml:space="preserve"> todo contribuye</w:t>
      </w:r>
      <w:r w:rsidR="00DB29AB">
        <w:rPr>
          <w:rFonts w:ascii="Times New Roman" w:hAnsi="Times New Roman" w:cs="Times New Roman"/>
          <w:sz w:val="24"/>
          <w:szCs w:val="24"/>
        </w:rPr>
        <w:t>nte de primera categoría de la L</w:t>
      </w:r>
      <w:r w:rsidR="0078535E" w:rsidRPr="006A0175">
        <w:rPr>
          <w:rFonts w:ascii="Times New Roman" w:hAnsi="Times New Roman" w:cs="Times New Roman"/>
          <w:sz w:val="24"/>
          <w:szCs w:val="24"/>
        </w:rPr>
        <w:t xml:space="preserve">ey </w:t>
      </w:r>
      <w:r w:rsidR="00DB29AB">
        <w:rPr>
          <w:rFonts w:ascii="Times New Roman" w:hAnsi="Times New Roman" w:cs="Times New Roman"/>
          <w:sz w:val="24"/>
          <w:szCs w:val="24"/>
        </w:rPr>
        <w:t>sobre el Impuesto a la R</w:t>
      </w:r>
      <w:r w:rsidR="0078535E" w:rsidRPr="006A0175">
        <w:rPr>
          <w:rFonts w:ascii="Times New Roman" w:hAnsi="Times New Roman" w:cs="Times New Roman"/>
          <w:sz w:val="24"/>
          <w:szCs w:val="24"/>
        </w:rPr>
        <w:t>enta que declare su renta efec</w:t>
      </w:r>
      <w:r w:rsidR="00AA3A03">
        <w:rPr>
          <w:rFonts w:ascii="Times New Roman" w:hAnsi="Times New Roman" w:cs="Times New Roman"/>
          <w:sz w:val="24"/>
          <w:szCs w:val="24"/>
        </w:rPr>
        <w:t>tiva por contabilidad completa, puede postular al beneficio</w:t>
      </w:r>
      <w:r w:rsidR="00DB29AB">
        <w:rPr>
          <w:rFonts w:ascii="Times New Roman" w:hAnsi="Times New Roman" w:cs="Times New Roman"/>
          <w:sz w:val="24"/>
          <w:szCs w:val="24"/>
        </w:rPr>
        <w:t xml:space="preserve">, </w:t>
      </w:r>
      <w:r w:rsidR="00DB29AB">
        <w:rPr>
          <w:rFonts w:ascii="Times New Roman" w:hAnsi="Times New Roman" w:cs="Times New Roman"/>
          <w:sz w:val="24"/>
          <w:szCs w:val="24"/>
        </w:rPr>
        <w:lastRenderedPageBreak/>
        <w:t xml:space="preserve">el </w:t>
      </w:r>
      <w:r w:rsidR="00AA3A03">
        <w:rPr>
          <w:rFonts w:ascii="Times New Roman" w:hAnsi="Times New Roman" w:cs="Times New Roman"/>
          <w:sz w:val="24"/>
          <w:szCs w:val="24"/>
        </w:rPr>
        <w:t>cual</w:t>
      </w:r>
      <w:r w:rsidR="0078535E" w:rsidRPr="006A0175">
        <w:rPr>
          <w:rFonts w:ascii="Times New Roman" w:hAnsi="Times New Roman" w:cs="Times New Roman"/>
          <w:sz w:val="24"/>
          <w:szCs w:val="24"/>
        </w:rPr>
        <w:t xml:space="preserve"> contempla un 35% de crédito tributario contra el impuesto de primera categoría sobre el monto invertido en I+D debidamente certificado por CORFO, con un tope de 15.000 UTM anuales. El 65% restante del monto invertido podrá ser considerado como gasto necesario para producir la renta, independiente del giro de la empresa. El monto mínimo para que CORFO certifique las actividades de I+D es de 100 UTM. El 50% de los recursos del proyecto podrá estar destinado a recursos humanos y subcontrataciones, las cuales deben corresponder a gastos por actividades que se lleven a cabo dentro del territorio nacional. La ley contempla la posibilidad de certificación de iniciativas que comprendan dos o más empresas para fomentar el carácter asociativo del gasto en I+D. El beneficio tributario es completamente compatible con subsidios públicos de otra índole. </w:t>
      </w:r>
    </w:p>
    <w:p w14:paraId="4E8614D1" w14:textId="5482EED9" w:rsidR="009A7531" w:rsidRPr="006A0175" w:rsidRDefault="00BC4EFB" w:rsidP="002F7C94">
      <w:pPr>
        <w:jc w:val="both"/>
        <w:rPr>
          <w:rFonts w:ascii="Times New Roman" w:hAnsi="Times New Roman" w:cs="Times New Roman"/>
          <w:sz w:val="24"/>
          <w:szCs w:val="24"/>
        </w:rPr>
      </w:pPr>
      <w:r w:rsidRPr="006A0175">
        <w:rPr>
          <w:rFonts w:ascii="Times New Roman" w:hAnsi="Times New Roman" w:cs="Times New Roman"/>
          <w:sz w:val="24"/>
          <w:szCs w:val="24"/>
        </w:rPr>
        <w:t>Existen dos formas de presentar la solicitud de certificación ante la CORFO, mediante proyectos (intramuros) o contratos (extramuros). Los proyectos corresponden al conjunto de actividades de I+D realizadas por una o varias empresas utilizando sus propias capacidades internas o de terceros, las cuales deben llevarse a cabo principalmente dentro del territorio nacional. Los ga</w:t>
      </w:r>
      <w:r w:rsidR="00EF0381">
        <w:rPr>
          <w:rFonts w:ascii="Times New Roman" w:hAnsi="Times New Roman" w:cs="Times New Roman"/>
          <w:sz w:val="24"/>
          <w:szCs w:val="24"/>
        </w:rPr>
        <w:t>s</w:t>
      </w:r>
      <w:r w:rsidRPr="006A0175">
        <w:rPr>
          <w:rFonts w:ascii="Times New Roman" w:hAnsi="Times New Roman" w:cs="Times New Roman"/>
          <w:sz w:val="24"/>
          <w:szCs w:val="24"/>
        </w:rPr>
        <w:t>tos que pueden acceder al beneficio tributario</w:t>
      </w:r>
      <w:r w:rsidR="001D5648" w:rsidRPr="006A0175">
        <w:rPr>
          <w:rFonts w:ascii="Times New Roman" w:hAnsi="Times New Roman" w:cs="Times New Roman"/>
          <w:sz w:val="24"/>
          <w:szCs w:val="24"/>
        </w:rPr>
        <w:t xml:space="preserve"> bajo esta modalidad son gastos corrientes de I+D, es decir de recursos humanos y de operación, así como gastos en bienes físicos del activo inmovilizado, básicamente inversiones en equipamiento o infraestructura, considerando una cuota anual de depreciación por uso en el proyecto. Los proyectos no contemplan gasto en administración para ser certificados. Los contratos (I+D extramuros) a su vez, corresponden a una prestación de servicios celebrado ent</w:t>
      </w:r>
      <w:r w:rsidR="009A7531" w:rsidRPr="006A0175">
        <w:rPr>
          <w:rFonts w:ascii="Times New Roman" w:hAnsi="Times New Roman" w:cs="Times New Roman"/>
          <w:sz w:val="24"/>
          <w:szCs w:val="24"/>
        </w:rPr>
        <w:t>r</w:t>
      </w:r>
      <w:r w:rsidR="001D5648" w:rsidRPr="006A0175">
        <w:rPr>
          <w:rFonts w:ascii="Times New Roman" w:hAnsi="Times New Roman" w:cs="Times New Roman"/>
          <w:sz w:val="24"/>
          <w:szCs w:val="24"/>
        </w:rPr>
        <w:t>e una o varias empresas y un centro de investigación ins</w:t>
      </w:r>
      <w:r w:rsidR="00EF0381">
        <w:rPr>
          <w:rFonts w:ascii="Times New Roman" w:hAnsi="Times New Roman" w:cs="Times New Roman"/>
          <w:sz w:val="24"/>
          <w:szCs w:val="24"/>
        </w:rPr>
        <w:t xml:space="preserve">crito en el registro de CORFO. En </w:t>
      </w:r>
      <w:r w:rsidR="001D5648" w:rsidRPr="006A0175">
        <w:rPr>
          <w:rFonts w:ascii="Times New Roman" w:hAnsi="Times New Roman" w:cs="Times New Roman"/>
          <w:sz w:val="24"/>
          <w:szCs w:val="24"/>
        </w:rPr>
        <w:t>e</w:t>
      </w:r>
      <w:r w:rsidR="00EF0381">
        <w:rPr>
          <w:rFonts w:ascii="Times New Roman" w:hAnsi="Times New Roman" w:cs="Times New Roman"/>
          <w:sz w:val="24"/>
          <w:szCs w:val="24"/>
        </w:rPr>
        <w:t>ste caso se</w:t>
      </w:r>
      <w:r w:rsidR="001D5648" w:rsidRPr="006A0175">
        <w:rPr>
          <w:rFonts w:ascii="Times New Roman" w:hAnsi="Times New Roman" w:cs="Times New Roman"/>
          <w:sz w:val="24"/>
          <w:szCs w:val="24"/>
        </w:rPr>
        <w:t xml:space="preserve"> contemplan solamente </w:t>
      </w:r>
      <w:r w:rsidR="00D911AF" w:rsidRPr="006A0175">
        <w:rPr>
          <w:rFonts w:ascii="Times New Roman" w:hAnsi="Times New Roman" w:cs="Times New Roman"/>
          <w:sz w:val="24"/>
          <w:szCs w:val="24"/>
        </w:rPr>
        <w:t>gastos corrientes</w:t>
      </w:r>
      <w:r w:rsidR="001D5648" w:rsidRPr="006A0175">
        <w:rPr>
          <w:rFonts w:ascii="Times New Roman" w:hAnsi="Times New Roman" w:cs="Times New Roman"/>
          <w:sz w:val="24"/>
          <w:szCs w:val="24"/>
        </w:rPr>
        <w:t xml:space="preserve"> en I+D, vale decir en recursos humanos, gasto de operación y de administración, no aplican los gastos de inversión de capital en I+D.</w:t>
      </w:r>
    </w:p>
    <w:p w14:paraId="484C4A81" w14:textId="633EB135" w:rsidR="009A7531" w:rsidRDefault="009A7531" w:rsidP="002F7C94">
      <w:pPr>
        <w:jc w:val="both"/>
        <w:rPr>
          <w:rFonts w:ascii="Times New Roman" w:hAnsi="Times New Roman" w:cs="Times New Roman"/>
          <w:sz w:val="24"/>
          <w:szCs w:val="24"/>
        </w:rPr>
      </w:pPr>
      <w:r w:rsidRPr="006A0175">
        <w:rPr>
          <w:rFonts w:ascii="Times New Roman" w:hAnsi="Times New Roman" w:cs="Times New Roman"/>
          <w:sz w:val="24"/>
          <w:szCs w:val="24"/>
        </w:rPr>
        <w:t>La secuencia que deben realizar las empresas para llegar a obtener el beneficio t</w:t>
      </w:r>
      <w:r w:rsidR="00EF0381">
        <w:rPr>
          <w:rFonts w:ascii="Times New Roman" w:hAnsi="Times New Roman" w:cs="Times New Roman"/>
          <w:sz w:val="24"/>
          <w:szCs w:val="24"/>
        </w:rPr>
        <w:t>ributario es la</w:t>
      </w:r>
      <w:r w:rsidRPr="006A0175">
        <w:rPr>
          <w:rFonts w:ascii="Times New Roman" w:hAnsi="Times New Roman" w:cs="Times New Roman"/>
          <w:sz w:val="24"/>
          <w:szCs w:val="24"/>
        </w:rPr>
        <w:t xml:space="preserve"> siguiente. La primera etapa consiste en postular </w:t>
      </w:r>
      <w:r w:rsidR="00EF0381">
        <w:rPr>
          <w:rFonts w:ascii="Times New Roman" w:hAnsi="Times New Roman" w:cs="Times New Roman"/>
          <w:sz w:val="24"/>
          <w:szCs w:val="24"/>
        </w:rPr>
        <w:t xml:space="preserve">un proyecto con </w:t>
      </w:r>
      <w:r w:rsidRPr="006A0175">
        <w:rPr>
          <w:rFonts w:ascii="Times New Roman" w:hAnsi="Times New Roman" w:cs="Times New Roman"/>
          <w:sz w:val="24"/>
          <w:szCs w:val="24"/>
        </w:rPr>
        <w:t>un monto</w:t>
      </w:r>
      <w:r w:rsidR="00EF0381">
        <w:rPr>
          <w:rFonts w:ascii="Times New Roman" w:hAnsi="Times New Roman" w:cs="Times New Roman"/>
          <w:sz w:val="24"/>
          <w:szCs w:val="24"/>
        </w:rPr>
        <w:t xml:space="preserve"> definido</w:t>
      </w:r>
      <w:r w:rsidRPr="006A0175">
        <w:rPr>
          <w:rFonts w:ascii="Times New Roman" w:hAnsi="Times New Roman" w:cs="Times New Roman"/>
          <w:sz w:val="24"/>
          <w:szCs w:val="24"/>
        </w:rPr>
        <w:t xml:space="preserve"> a CORFO (monto postulado), quién decidirá si certificar el monto total, una fracción o rechazar por completo la postulación</w:t>
      </w:r>
      <w:r w:rsidR="00EF0381">
        <w:rPr>
          <w:rFonts w:ascii="Times New Roman" w:hAnsi="Times New Roman" w:cs="Times New Roman"/>
          <w:sz w:val="24"/>
          <w:szCs w:val="24"/>
        </w:rPr>
        <w:t xml:space="preserve"> del proyecto o contrato</w:t>
      </w:r>
      <w:r w:rsidRPr="006A0175">
        <w:rPr>
          <w:rFonts w:ascii="Times New Roman" w:hAnsi="Times New Roman" w:cs="Times New Roman"/>
          <w:sz w:val="24"/>
          <w:szCs w:val="24"/>
        </w:rPr>
        <w:t>. Una vez tomada la decisión, CORFO certifica la cantidad de recursos elegibles para ser ejecutada por las empresas dentro de su proyecto o contrato de I+D (monto certificado)</w:t>
      </w:r>
      <w:r w:rsidR="00EF0381">
        <w:rPr>
          <w:rFonts w:ascii="Times New Roman" w:hAnsi="Times New Roman" w:cs="Times New Roman"/>
          <w:sz w:val="24"/>
          <w:szCs w:val="24"/>
        </w:rPr>
        <w:t xml:space="preserve">. </w:t>
      </w:r>
      <w:r w:rsidR="004B2FF0" w:rsidRPr="006A0175">
        <w:rPr>
          <w:rFonts w:ascii="Times New Roman" w:hAnsi="Times New Roman" w:cs="Times New Roman"/>
          <w:sz w:val="24"/>
          <w:szCs w:val="24"/>
        </w:rPr>
        <w:t>Una vez certificado el monto de sus proyectos</w:t>
      </w:r>
      <w:r w:rsidR="000474A9">
        <w:rPr>
          <w:rFonts w:ascii="Times New Roman" w:hAnsi="Times New Roman" w:cs="Times New Roman"/>
          <w:sz w:val="24"/>
          <w:szCs w:val="24"/>
        </w:rPr>
        <w:t>,</w:t>
      </w:r>
      <w:r w:rsidR="004B2FF0" w:rsidRPr="006A0175">
        <w:rPr>
          <w:rFonts w:ascii="Times New Roman" w:hAnsi="Times New Roman" w:cs="Times New Roman"/>
          <w:sz w:val="24"/>
          <w:szCs w:val="24"/>
        </w:rPr>
        <w:t xml:space="preserve"> las empresas deben rendir sus gastos a CORFO par ser elegibles al beneficio (monto rendido). CORFO consolida los gastos rendidos y se los envía al Servicio de Impuesto</w:t>
      </w:r>
      <w:r w:rsidR="00DB29AB">
        <w:rPr>
          <w:rFonts w:ascii="Times New Roman" w:hAnsi="Times New Roman" w:cs="Times New Roman"/>
          <w:sz w:val="24"/>
          <w:szCs w:val="24"/>
        </w:rPr>
        <w:t>s</w:t>
      </w:r>
      <w:r w:rsidR="004B2FF0" w:rsidRPr="006A0175">
        <w:rPr>
          <w:rFonts w:ascii="Times New Roman" w:hAnsi="Times New Roman" w:cs="Times New Roman"/>
          <w:sz w:val="24"/>
          <w:szCs w:val="24"/>
        </w:rPr>
        <w:t xml:space="preserve"> Internos (SII) para que corroboren sus registros con los registrado</w:t>
      </w:r>
      <w:r w:rsidR="00DB29AB">
        <w:rPr>
          <w:rFonts w:ascii="Times New Roman" w:hAnsi="Times New Roman" w:cs="Times New Roman"/>
          <w:sz w:val="24"/>
          <w:szCs w:val="24"/>
        </w:rPr>
        <w:t>s</w:t>
      </w:r>
      <w:r w:rsidR="004B2FF0" w:rsidRPr="006A0175">
        <w:rPr>
          <w:rFonts w:ascii="Times New Roman" w:hAnsi="Times New Roman" w:cs="Times New Roman"/>
          <w:sz w:val="24"/>
          <w:szCs w:val="24"/>
        </w:rPr>
        <w:t xml:space="preserve"> en el formulario 22 de las empresas para hacer efectivo la deducción impositiva (monto ejecutado). Los primeros tres montos son de conocimiento público, mientras que el monto efectivamente ejecutado solo puede ser accesible, a nivel de empresa, para fines </w:t>
      </w:r>
      <w:r w:rsidR="000474A9">
        <w:rPr>
          <w:rFonts w:ascii="Times New Roman" w:hAnsi="Times New Roman" w:cs="Times New Roman"/>
          <w:sz w:val="24"/>
          <w:szCs w:val="24"/>
        </w:rPr>
        <w:t>tributarios exclusivos del SII.</w:t>
      </w:r>
    </w:p>
    <w:p w14:paraId="193BBB2B" w14:textId="2353309A" w:rsidR="00B911CD" w:rsidRPr="00B911CD" w:rsidRDefault="00A347F5" w:rsidP="00B911CD">
      <w:pPr>
        <w:pStyle w:val="Ttulo2"/>
      </w:pPr>
      <w:bookmarkStart w:id="7" w:name="_Toc470081851"/>
      <w:r>
        <w:t>Estadística descriptiva</w:t>
      </w:r>
      <w:bookmarkEnd w:id="7"/>
    </w:p>
    <w:p w14:paraId="6118C9C0" w14:textId="09081E0C" w:rsidR="0047318A" w:rsidRPr="002F7C94" w:rsidRDefault="001D5648" w:rsidP="002F7C94">
      <w:pPr>
        <w:jc w:val="both"/>
        <w:rPr>
          <w:rFonts w:ascii="Times New Roman" w:hAnsi="Times New Roman" w:cs="Times New Roman"/>
          <w:sz w:val="24"/>
          <w:szCs w:val="24"/>
        </w:rPr>
      </w:pPr>
      <w:r w:rsidRPr="002F7C94">
        <w:rPr>
          <w:rFonts w:ascii="Times New Roman" w:hAnsi="Times New Roman" w:cs="Times New Roman"/>
          <w:sz w:val="24"/>
          <w:szCs w:val="24"/>
        </w:rPr>
        <w:lastRenderedPageBreak/>
        <w:t>Con la modificación de la Ley en 2012, el flujo de postulantes se multiplicó por cinco,</w:t>
      </w:r>
      <w:r w:rsidR="00A50AF7" w:rsidRPr="002F7C94">
        <w:rPr>
          <w:rFonts w:ascii="Times New Roman" w:hAnsi="Times New Roman" w:cs="Times New Roman"/>
          <w:sz w:val="24"/>
          <w:szCs w:val="24"/>
        </w:rPr>
        <w:t xml:space="preserve"> explicado por la apertura de certificación a gasto en I+D intramuros.</w:t>
      </w:r>
      <w:r w:rsidR="00D911AF" w:rsidRPr="002F7C94">
        <w:rPr>
          <w:rFonts w:ascii="Times New Roman" w:hAnsi="Times New Roman" w:cs="Times New Roman"/>
          <w:sz w:val="24"/>
          <w:szCs w:val="24"/>
        </w:rPr>
        <w:t xml:space="preserve"> El Gráfico 2</w:t>
      </w:r>
      <w:r w:rsidR="009A7531" w:rsidRPr="002F7C94">
        <w:rPr>
          <w:rFonts w:ascii="Times New Roman" w:hAnsi="Times New Roman" w:cs="Times New Roman"/>
          <w:sz w:val="24"/>
          <w:szCs w:val="24"/>
        </w:rPr>
        <w:t>.1</w:t>
      </w:r>
      <w:r w:rsidR="00D911AF" w:rsidRPr="002F7C94">
        <w:rPr>
          <w:rFonts w:ascii="Times New Roman" w:hAnsi="Times New Roman" w:cs="Times New Roman"/>
          <w:sz w:val="24"/>
          <w:szCs w:val="24"/>
        </w:rPr>
        <w:t xml:space="preserve"> muestra la evolución</w:t>
      </w:r>
      <w:r w:rsidR="009A7531" w:rsidRPr="002F7C94">
        <w:rPr>
          <w:rFonts w:ascii="Times New Roman" w:hAnsi="Times New Roman" w:cs="Times New Roman"/>
          <w:sz w:val="24"/>
          <w:szCs w:val="24"/>
        </w:rPr>
        <w:t>, dando cuenta de que el 92% de los recursos certificados</w:t>
      </w:r>
      <w:r w:rsidR="0047318A" w:rsidRPr="002F7C94">
        <w:rPr>
          <w:rFonts w:ascii="Times New Roman" w:hAnsi="Times New Roman" w:cs="Times New Roman"/>
          <w:sz w:val="24"/>
          <w:szCs w:val="24"/>
        </w:rPr>
        <w:t xml:space="preserve"> por la ley ha sido mediante proyectos, es decir</w:t>
      </w:r>
      <w:r w:rsidR="00DB29AB">
        <w:rPr>
          <w:rFonts w:ascii="Times New Roman" w:hAnsi="Times New Roman" w:cs="Times New Roman"/>
          <w:sz w:val="24"/>
          <w:szCs w:val="24"/>
        </w:rPr>
        <w:t>,</w:t>
      </w:r>
      <w:r w:rsidR="0047318A" w:rsidRPr="002F7C94">
        <w:rPr>
          <w:rFonts w:ascii="Times New Roman" w:hAnsi="Times New Roman" w:cs="Times New Roman"/>
          <w:sz w:val="24"/>
          <w:szCs w:val="24"/>
        </w:rPr>
        <w:t xml:space="preserve"> I+D intramuros.</w:t>
      </w:r>
      <w:r w:rsidR="00D911AF" w:rsidRPr="002F7C94">
        <w:rPr>
          <w:rFonts w:ascii="Times New Roman" w:hAnsi="Times New Roman" w:cs="Times New Roman"/>
          <w:sz w:val="24"/>
          <w:szCs w:val="24"/>
        </w:rPr>
        <w:t xml:space="preserve"> </w:t>
      </w:r>
    </w:p>
    <w:p w14:paraId="0F00A4D1" w14:textId="77777777" w:rsidR="0047318A" w:rsidRPr="006A0175" w:rsidRDefault="0047318A" w:rsidP="002E2342">
      <w:pPr>
        <w:pStyle w:val="Sinespaciado"/>
        <w:jc w:val="both"/>
        <w:rPr>
          <w:rFonts w:ascii="Times New Roman" w:hAnsi="Times New Roman"/>
          <w:sz w:val="24"/>
          <w:szCs w:val="24"/>
        </w:rPr>
      </w:pPr>
    </w:p>
    <w:p w14:paraId="26BFA624" w14:textId="013F4E21" w:rsidR="0047318A" w:rsidRPr="006A0175" w:rsidRDefault="00080690" w:rsidP="002E2342">
      <w:pPr>
        <w:pStyle w:val="Sinespaciado"/>
        <w:jc w:val="center"/>
        <w:rPr>
          <w:rFonts w:ascii="Times New Roman" w:hAnsi="Times New Roman"/>
          <w:sz w:val="24"/>
          <w:szCs w:val="24"/>
          <w:u w:val="single"/>
        </w:rPr>
      </w:pPr>
      <w:r w:rsidRPr="006A0175">
        <w:rPr>
          <w:rFonts w:ascii="Times New Roman" w:hAnsi="Times New Roman"/>
          <w:sz w:val="24"/>
          <w:szCs w:val="24"/>
          <w:u w:val="single"/>
        </w:rPr>
        <w:t xml:space="preserve">Gráfico </w:t>
      </w:r>
      <w:r w:rsidR="00C8294C" w:rsidRPr="006A0175">
        <w:rPr>
          <w:rFonts w:ascii="Times New Roman" w:hAnsi="Times New Roman"/>
          <w:sz w:val="24"/>
          <w:szCs w:val="24"/>
          <w:u w:val="single"/>
        </w:rPr>
        <w:t>2.1</w:t>
      </w:r>
      <w:r w:rsidR="0047318A" w:rsidRPr="006A0175">
        <w:rPr>
          <w:rFonts w:ascii="Times New Roman" w:hAnsi="Times New Roman"/>
          <w:sz w:val="24"/>
          <w:szCs w:val="24"/>
          <w:u w:val="single"/>
        </w:rPr>
        <w:t xml:space="preserve">: </w:t>
      </w:r>
      <w:r w:rsidR="009A7531" w:rsidRPr="006A0175">
        <w:rPr>
          <w:rFonts w:ascii="Times New Roman" w:hAnsi="Times New Roman"/>
          <w:sz w:val="24"/>
          <w:szCs w:val="24"/>
          <w:u w:val="single"/>
        </w:rPr>
        <w:t>Montos certificados</w:t>
      </w:r>
      <w:r w:rsidR="0047318A" w:rsidRPr="006A0175">
        <w:rPr>
          <w:rFonts w:ascii="Times New Roman" w:hAnsi="Times New Roman"/>
          <w:sz w:val="24"/>
          <w:szCs w:val="24"/>
          <w:u w:val="single"/>
        </w:rPr>
        <w:t xml:space="preserve"> ley I+</w:t>
      </w:r>
      <w:r w:rsidR="009A7531" w:rsidRPr="006A0175">
        <w:rPr>
          <w:rFonts w:ascii="Times New Roman" w:hAnsi="Times New Roman"/>
          <w:sz w:val="24"/>
          <w:szCs w:val="24"/>
          <w:u w:val="single"/>
        </w:rPr>
        <w:t>D, 2008-2015</w:t>
      </w:r>
      <w:r w:rsidR="0047318A" w:rsidRPr="006A0175">
        <w:rPr>
          <w:rFonts w:ascii="Times New Roman" w:hAnsi="Times New Roman"/>
          <w:sz w:val="24"/>
          <w:szCs w:val="24"/>
          <w:u w:val="single"/>
        </w:rPr>
        <w:t xml:space="preserve"> (Millones de pesos)</w:t>
      </w:r>
    </w:p>
    <w:p w14:paraId="2155801B" w14:textId="77777777" w:rsidR="0047318A" w:rsidRPr="006A0175" w:rsidRDefault="0047318A" w:rsidP="002E2342">
      <w:pPr>
        <w:pStyle w:val="Sinespaciado"/>
        <w:jc w:val="center"/>
        <w:rPr>
          <w:rFonts w:ascii="Times New Roman" w:hAnsi="Times New Roman"/>
          <w:sz w:val="24"/>
          <w:szCs w:val="24"/>
        </w:rPr>
      </w:pPr>
    </w:p>
    <w:p w14:paraId="68205B28" w14:textId="36A78008" w:rsidR="0047318A" w:rsidRPr="006A0175" w:rsidRDefault="009A7531" w:rsidP="002E2342">
      <w:pPr>
        <w:pStyle w:val="Sinespaciado"/>
        <w:jc w:val="center"/>
        <w:rPr>
          <w:rFonts w:ascii="Times New Roman" w:hAnsi="Times New Roman"/>
          <w:sz w:val="24"/>
          <w:szCs w:val="24"/>
        </w:rPr>
      </w:pPr>
      <w:r w:rsidRPr="006A0175">
        <w:rPr>
          <w:rFonts w:ascii="Times New Roman" w:hAnsi="Times New Roman"/>
          <w:noProof/>
          <w:sz w:val="24"/>
          <w:szCs w:val="24"/>
        </w:rPr>
        <w:drawing>
          <wp:inline distT="0" distB="0" distL="0" distR="0" wp14:anchorId="52E78E05" wp14:editId="70B919FA">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55F515" w14:textId="77777777" w:rsidR="0047318A" w:rsidRPr="006A0175" w:rsidRDefault="0047318A" w:rsidP="002E2342">
      <w:pPr>
        <w:pStyle w:val="Sinespaciado"/>
        <w:jc w:val="center"/>
        <w:rPr>
          <w:rFonts w:ascii="Times New Roman" w:hAnsi="Times New Roman"/>
          <w:sz w:val="24"/>
          <w:szCs w:val="24"/>
        </w:rPr>
      </w:pPr>
    </w:p>
    <w:p w14:paraId="48A80184" w14:textId="1CB5ED45" w:rsidR="0047318A" w:rsidRPr="000474A9" w:rsidRDefault="0047318A" w:rsidP="002E2342">
      <w:pPr>
        <w:pStyle w:val="Sinespaciado"/>
        <w:jc w:val="both"/>
        <w:rPr>
          <w:rFonts w:ascii="Times New Roman" w:hAnsi="Times New Roman"/>
          <w:sz w:val="20"/>
          <w:szCs w:val="20"/>
        </w:rPr>
      </w:pPr>
      <w:r w:rsidRPr="000474A9">
        <w:rPr>
          <w:rFonts w:ascii="Times New Roman" w:hAnsi="Times New Roman"/>
          <w:sz w:val="20"/>
          <w:szCs w:val="20"/>
        </w:rPr>
        <w:t xml:space="preserve">Fuente: </w:t>
      </w:r>
      <w:r w:rsidR="000474A9">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r w:rsidR="00961E3E" w:rsidRPr="000474A9">
        <w:rPr>
          <w:rFonts w:ascii="Times New Roman" w:hAnsi="Times New Roman"/>
          <w:sz w:val="20"/>
          <w:szCs w:val="20"/>
        </w:rPr>
        <w:t>.</w:t>
      </w:r>
    </w:p>
    <w:p w14:paraId="704F0B74" w14:textId="77777777" w:rsidR="0047318A" w:rsidRPr="006A0175" w:rsidRDefault="0047318A" w:rsidP="002E2342">
      <w:pPr>
        <w:pStyle w:val="Sinespaciado"/>
        <w:jc w:val="both"/>
        <w:rPr>
          <w:rFonts w:ascii="Times New Roman" w:hAnsi="Times New Roman"/>
          <w:sz w:val="24"/>
          <w:szCs w:val="24"/>
        </w:rPr>
      </w:pPr>
    </w:p>
    <w:p w14:paraId="32E760DC" w14:textId="30AEAB93" w:rsidR="00867763" w:rsidRPr="000474A9" w:rsidRDefault="0047318A" w:rsidP="000474A9">
      <w:pPr>
        <w:jc w:val="both"/>
        <w:rPr>
          <w:rFonts w:ascii="Times New Roman" w:hAnsi="Times New Roman" w:cs="Times New Roman"/>
          <w:sz w:val="24"/>
          <w:szCs w:val="24"/>
        </w:rPr>
      </w:pPr>
      <w:r w:rsidRPr="002F7C94">
        <w:rPr>
          <w:rFonts w:ascii="Times New Roman" w:hAnsi="Times New Roman" w:cs="Times New Roman"/>
          <w:sz w:val="24"/>
          <w:szCs w:val="24"/>
        </w:rPr>
        <w:t>E</w:t>
      </w:r>
      <w:r w:rsidR="001D5648" w:rsidRPr="002F7C94">
        <w:rPr>
          <w:rFonts w:ascii="Times New Roman" w:hAnsi="Times New Roman" w:cs="Times New Roman"/>
          <w:sz w:val="24"/>
          <w:szCs w:val="24"/>
        </w:rPr>
        <w:t xml:space="preserve">xiste </w:t>
      </w:r>
      <w:r w:rsidR="00EF0381">
        <w:rPr>
          <w:rFonts w:ascii="Times New Roman" w:hAnsi="Times New Roman" w:cs="Times New Roman"/>
          <w:sz w:val="24"/>
          <w:szCs w:val="24"/>
        </w:rPr>
        <w:t xml:space="preserve">un marcado sesgo hacia </w:t>
      </w:r>
      <w:r w:rsidR="001D5648" w:rsidRPr="002F7C94">
        <w:rPr>
          <w:rFonts w:ascii="Times New Roman" w:hAnsi="Times New Roman" w:cs="Times New Roman"/>
          <w:sz w:val="24"/>
          <w:szCs w:val="24"/>
        </w:rPr>
        <w:t>grandes</w:t>
      </w:r>
      <w:r w:rsidR="00EF0381">
        <w:rPr>
          <w:rFonts w:ascii="Times New Roman" w:hAnsi="Times New Roman" w:cs="Times New Roman"/>
          <w:sz w:val="24"/>
          <w:szCs w:val="24"/>
        </w:rPr>
        <w:t xml:space="preserve"> empresas</w:t>
      </w:r>
      <w:r w:rsidRPr="002F7C94">
        <w:rPr>
          <w:rFonts w:ascii="Times New Roman" w:hAnsi="Times New Roman" w:cs="Times New Roman"/>
          <w:sz w:val="24"/>
          <w:szCs w:val="24"/>
        </w:rPr>
        <w:t xml:space="preserve"> quienes durante la histo</w:t>
      </w:r>
      <w:r w:rsidR="00EF0381">
        <w:rPr>
          <w:rFonts w:ascii="Times New Roman" w:hAnsi="Times New Roman" w:cs="Times New Roman"/>
          <w:sz w:val="24"/>
          <w:szCs w:val="24"/>
        </w:rPr>
        <w:t>ria de l</w:t>
      </w:r>
      <w:r w:rsidR="00CC64DC" w:rsidRPr="002F7C94">
        <w:rPr>
          <w:rFonts w:ascii="Times New Roman" w:hAnsi="Times New Roman" w:cs="Times New Roman"/>
          <w:sz w:val="24"/>
          <w:szCs w:val="24"/>
        </w:rPr>
        <w:t>ey han certificado el 84</w:t>
      </w:r>
      <w:r w:rsidRPr="002F7C94">
        <w:rPr>
          <w:rFonts w:ascii="Times New Roman" w:hAnsi="Times New Roman" w:cs="Times New Roman"/>
          <w:sz w:val="24"/>
          <w:szCs w:val="24"/>
        </w:rPr>
        <w:t xml:space="preserve">% de los </w:t>
      </w:r>
      <w:r w:rsidR="00CC64DC" w:rsidRPr="002F7C94">
        <w:rPr>
          <w:rFonts w:ascii="Times New Roman" w:hAnsi="Times New Roman" w:cs="Times New Roman"/>
          <w:sz w:val="24"/>
          <w:szCs w:val="24"/>
        </w:rPr>
        <w:t>114.931</w:t>
      </w:r>
      <w:r w:rsidR="00DB29AB">
        <w:rPr>
          <w:rFonts w:ascii="Times New Roman" w:hAnsi="Times New Roman" w:cs="Times New Roman"/>
          <w:sz w:val="24"/>
          <w:szCs w:val="24"/>
        </w:rPr>
        <w:t xml:space="preserve"> millones de pesos</w:t>
      </w:r>
      <w:r w:rsidR="008B0CD3" w:rsidRPr="002F7C94">
        <w:rPr>
          <w:rFonts w:ascii="Times New Roman" w:hAnsi="Times New Roman" w:cs="Times New Roman"/>
          <w:sz w:val="24"/>
          <w:szCs w:val="24"/>
        </w:rPr>
        <w:t>. Esto es</w:t>
      </w:r>
      <w:r w:rsidR="001959AD" w:rsidRPr="002F7C94">
        <w:rPr>
          <w:rFonts w:ascii="Times New Roman" w:hAnsi="Times New Roman" w:cs="Times New Roman"/>
          <w:sz w:val="24"/>
          <w:szCs w:val="24"/>
        </w:rPr>
        <w:t xml:space="preserve"> explicado principalmente por</w:t>
      </w:r>
      <w:r w:rsidR="00EF0381">
        <w:rPr>
          <w:rFonts w:ascii="Times New Roman" w:hAnsi="Times New Roman" w:cs="Times New Roman"/>
          <w:sz w:val="24"/>
          <w:szCs w:val="24"/>
        </w:rPr>
        <w:t>que para acceder al crédito</w:t>
      </w:r>
      <w:r w:rsidR="00CC64DC" w:rsidRPr="002F7C94">
        <w:rPr>
          <w:rFonts w:ascii="Times New Roman" w:hAnsi="Times New Roman" w:cs="Times New Roman"/>
          <w:sz w:val="24"/>
          <w:szCs w:val="24"/>
        </w:rPr>
        <w:t xml:space="preserve"> es necesario generar utilidades, como en promedio, las firma</w:t>
      </w:r>
      <w:r w:rsidR="00EF0381">
        <w:rPr>
          <w:rFonts w:ascii="Times New Roman" w:hAnsi="Times New Roman" w:cs="Times New Roman"/>
          <w:sz w:val="24"/>
          <w:szCs w:val="24"/>
        </w:rPr>
        <w:t>s grandes generan mayor monto de EBITDA</w:t>
      </w:r>
      <w:r w:rsidR="00CC64DC" w:rsidRPr="002F7C94">
        <w:rPr>
          <w:rFonts w:ascii="Times New Roman" w:hAnsi="Times New Roman" w:cs="Times New Roman"/>
          <w:sz w:val="24"/>
          <w:szCs w:val="24"/>
        </w:rPr>
        <w:t xml:space="preserve"> que las pymes, éstas últimas son menos propensas a certificar montos, ver gráfico 2.2. No es un resultado que sorprenda, pues en la mayoría de los países de</w:t>
      </w:r>
      <w:r w:rsidR="00DB29AB">
        <w:rPr>
          <w:rFonts w:ascii="Times New Roman" w:hAnsi="Times New Roman" w:cs="Times New Roman"/>
          <w:sz w:val="24"/>
          <w:szCs w:val="24"/>
        </w:rPr>
        <w:t xml:space="preserve"> </w:t>
      </w:r>
      <w:r w:rsidR="00CC64DC" w:rsidRPr="002F7C94">
        <w:rPr>
          <w:rFonts w:ascii="Times New Roman" w:hAnsi="Times New Roman" w:cs="Times New Roman"/>
          <w:sz w:val="24"/>
          <w:szCs w:val="24"/>
        </w:rPr>
        <w:t>l</w:t>
      </w:r>
      <w:r w:rsidR="00DB29AB">
        <w:rPr>
          <w:rFonts w:ascii="Times New Roman" w:hAnsi="Times New Roman" w:cs="Times New Roman"/>
          <w:sz w:val="24"/>
          <w:szCs w:val="24"/>
        </w:rPr>
        <w:t>a</w:t>
      </w:r>
      <w:r w:rsidR="00CC64DC" w:rsidRPr="002F7C94">
        <w:rPr>
          <w:rFonts w:ascii="Times New Roman" w:hAnsi="Times New Roman" w:cs="Times New Roman"/>
          <w:sz w:val="24"/>
          <w:szCs w:val="24"/>
        </w:rPr>
        <w:t xml:space="preserve"> OCDE donde existen beneficios tributarios a la inversión privada en I+D, es en las grandes empresas donde se ven los efectos principales del incentivo (</w:t>
      </w:r>
      <w:r w:rsidR="00D20D39">
        <w:rPr>
          <w:rFonts w:ascii="Times New Roman" w:hAnsi="Times New Roman" w:cs="Times New Roman"/>
          <w:sz w:val="24"/>
          <w:szCs w:val="24"/>
        </w:rPr>
        <w:t xml:space="preserve">Andrews y </w:t>
      </w:r>
      <w:proofErr w:type="spellStart"/>
      <w:r w:rsidR="00D20D39">
        <w:rPr>
          <w:rFonts w:ascii="Times New Roman" w:hAnsi="Times New Roman" w:cs="Times New Roman"/>
          <w:sz w:val="24"/>
          <w:szCs w:val="24"/>
        </w:rPr>
        <w:t>Criscuolo</w:t>
      </w:r>
      <w:proofErr w:type="spellEnd"/>
      <w:r w:rsidR="00D20D39">
        <w:rPr>
          <w:rFonts w:ascii="Times New Roman" w:hAnsi="Times New Roman" w:cs="Times New Roman"/>
          <w:sz w:val="24"/>
          <w:szCs w:val="24"/>
        </w:rPr>
        <w:t xml:space="preserve">, </w:t>
      </w:r>
      <w:r w:rsidR="00A50AF7" w:rsidRPr="002F7C94">
        <w:rPr>
          <w:rFonts w:ascii="Times New Roman" w:hAnsi="Times New Roman" w:cs="Times New Roman"/>
          <w:sz w:val="24"/>
          <w:szCs w:val="24"/>
        </w:rPr>
        <w:t>2013</w:t>
      </w:r>
      <w:r w:rsidR="00CC64DC" w:rsidRPr="002F7C94">
        <w:rPr>
          <w:rFonts w:ascii="Times New Roman" w:hAnsi="Times New Roman" w:cs="Times New Roman"/>
          <w:sz w:val="24"/>
          <w:szCs w:val="24"/>
        </w:rPr>
        <w:t>)</w:t>
      </w:r>
      <w:r w:rsidR="00A50AF7" w:rsidRPr="002F7C94">
        <w:rPr>
          <w:rFonts w:ascii="Times New Roman" w:hAnsi="Times New Roman" w:cs="Times New Roman"/>
          <w:sz w:val="24"/>
          <w:szCs w:val="24"/>
        </w:rPr>
        <w:t>.</w:t>
      </w:r>
    </w:p>
    <w:p w14:paraId="04DC2572" w14:textId="349C2E32" w:rsidR="00CC64DC" w:rsidRPr="006A0175" w:rsidRDefault="00CC64DC" w:rsidP="00CC64DC">
      <w:pPr>
        <w:pStyle w:val="Sinespaciado"/>
        <w:jc w:val="center"/>
        <w:rPr>
          <w:rFonts w:ascii="Times New Roman" w:hAnsi="Times New Roman"/>
          <w:sz w:val="24"/>
          <w:szCs w:val="24"/>
          <w:u w:val="single"/>
        </w:rPr>
      </w:pPr>
      <w:r w:rsidRPr="006A0175">
        <w:rPr>
          <w:rFonts w:ascii="Times New Roman" w:hAnsi="Times New Roman"/>
          <w:sz w:val="24"/>
          <w:szCs w:val="24"/>
          <w:u w:val="single"/>
        </w:rPr>
        <w:t>Gráfico 2.2: Montos certificados ley I+D según tamaño de empresas, 2008-2015 (Millones de pesos)</w:t>
      </w:r>
    </w:p>
    <w:p w14:paraId="66A50AA1" w14:textId="6495B3DA" w:rsidR="002C2175" w:rsidRPr="006A0175" w:rsidRDefault="002C2175" w:rsidP="00CC64DC">
      <w:pPr>
        <w:pStyle w:val="Sinespaciado"/>
        <w:jc w:val="center"/>
        <w:rPr>
          <w:rFonts w:ascii="Times New Roman" w:hAnsi="Times New Roman"/>
          <w:sz w:val="24"/>
          <w:szCs w:val="24"/>
          <w:u w:val="single"/>
        </w:rPr>
      </w:pPr>
    </w:p>
    <w:p w14:paraId="5E21AB94" w14:textId="4632570C" w:rsidR="002C2175" w:rsidRPr="006A0175" w:rsidRDefault="002C2175" w:rsidP="00CC64DC">
      <w:pPr>
        <w:pStyle w:val="Sinespaciado"/>
        <w:jc w:val="center"/>
        <w:rPr>
          <w:rFonts w:ascii="Times New Roman" w:hAnsi="Times New Roman"/>
          <w:sz w:val="24"/>
          <w:szCs w:val="24"/>
          <w:u w:val="single"/>
        </w:rPr>
      </w:pPr>
      <w:r w:rsidRPr="006A0175">
        <w:rPr>
          <w:rFonts w:ascii="Times New Roman" w:hAnsi="Times New Roman"/>
          <w:noProof/>
          <w:sz w:val="24"/>
          <w:szCs w:val="24"/>
        </w:rPr>
        <w:lastRenderedPageBreak/>
        <w:drawing>
          <wp:inline distT="0" distB="0" distL="0" distR="0" wp14:anchorId="14423118" wp14:editId="2EE6766D">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1798169" w14:textId="643970DC" w:rsidR="00CC64DC" w:rsidRPr="00902DA8" w:rsidRDefault="000474A9" w:rsidP="002E2342">
      <w:pPr>
        <w:pStyle w:val="Sinespaciado"/>
        <w:jc w:val="both"/>
        <w:rPr>
          <w:rFonts w:ascii="Times New Roman" w:hAnsi="Times New Roman"/>
          <w:sz w:val="20"/>
          <w:szCs w:val="20"/>
        </w:rPr>
      </w:pPr>
      <w:r w:rsidRPr="000474A9">
        <w:rPr>
          <w:rFonts w:ascii="Times New Roman" w:hAnsi="Times New Roman"/>
          <w:sz w:val="20"/>
          <w:szCs w:val="20"/>
        </w:rPr>
        <w:t xml:space="preserve">Fuente: </w:t>
      </w:r>
      <w:r>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p>
    <w:p w14:paraId="45CA81A3" w14:textId="77777777" w:rsidR="00CC64DC" w:rsidRPr="006A0175" w:rsidRDefault="00CC64DC" w:rsidP="002E2342">
      <w:pPr>
        <w:pStyle w:val="Sinespaciado"/>
        <w:jc w:val="both"/>
        <w:rPr>
          <w:rFonts w:ascii="Times New Roman" w:hAnsi="Times New Roman"/>
          <w:sz w:val="24"/>
          <w:szCs w:val="24"/>
        </w:rPr>
      </w:pPr>
    </w:p>
    <w:p w14:paraId="53403BF9" w14:textId="09B29565" w:rsidR="002C2175" w:rsidRPr="000474A9" w:rsidRDefault="00867763" w:rsidP="000474A9">
      <w:pPr>
        <w:jc w:val="both"/>
        <w:rPr>
          <w:rFonts w:ascii="Times New Roman" w:hAnsi="Times New Roman" w:cs="Times New Roman"/>
          <w:sz w:val="24"/>
          <w:szCs w:val="24"/>
        </w:rPr>
      </w:pPr>
      <w:r w:rsidRPr="00902DA8">
        <w:rPr>
          <w:rFonts w:ascii="Times New Roman" w:hAnsi="Times New Roman" w:cs="Times New Roman"/>
          <w:sz w:val="24"/>
          <w:szCs w:val="24"/>
        </w:rPr>
        <w:t>Así como</w:t>
      </w:r>
      <w:r w:rsidR="00EF0381">
        <w:rPr>
          <w:rFonts w:ascii="Times New Roman" w:hAnsi="Times New Roman" w:cs="Times New Roman"/>
          <w:sz w:val="24"/>
          <w:szCs w:val="24"/>
        </w:rPr>
        <w:t xml:space="preserve"> existe concentración en </w:t>
      </w:r>
      <w:r w:rsidRPr="00902DA8">
        <w:rPr>
          <w:rFonts w:ascii="Times New Roman" w:hAnsi="Times New Roman" w:cs="Times New Roman"/>
          <w:sz w:val="24"/>
          <w:szCs w:val="24"/>
        </w:rPr>
        <w:t>grandes</w:t>
      </w:r>
      <w:r w:rsidR="00EF0381">
        <w:rPr>
          <w:rFonts w:ascii="Times New Roman" w:hAnsi="Times New Roman" w:cs="Times New Roman"/>
          <w:sz w:val="24"/>
          <w:szCs w:val="24"/>
        </w:rPr>
        <w:t xml:space="preserve"> empresas</w:t>
      </w:r>
      <w:r w:rsidRPr="00902DA8">
        <w:rPr>
          <w:rFonts w:ascii="Times New Roman" w:hAnsi="Times New Roman" w:cs="Times New Roman"/>
          <w:sz w:val="24"/>
          <w:szCs w:val="24"/>
        </w:rPr>
        <w:t xml:space="preserve">, existe también </w:t>
      </w:r>
      <w:r w:rsidR="002C2175" w:rsidRPr="00902DA8">
        <w:rPr>
          <w:rFonts w:ascii="Times New Roman" w:hAnsi="Times New Roman" w:cs="Times New Roman"/>
          <w:sz w:val="24"/>
          <w:szCs w:val="24"/>
        </w:rPr>
        <w:t xml:space="preserve">alta concentración del monto certificado por </w:t>
      </w:r>
      <w:r w:rsidRPr="00902DA8">
        <w:rPr>
          <w:rFonts w:ascii="Times New Roman" w:hAnsi="Times New Roman" w:cs="Times New Roman"/>
          <w:sz w:val="24"/>
          <w:szCs w:val="24"/>
        </w:rPr>
        <w:t xml:space="preserve">beneficio tributario </w:t>
      </w:r>
      <w:r w:rsidR="001122C8" w:rsidRPr="00902DA8">
        <w:rPr>
          <w:rFonts w:ascii="Times New Roman" w:hAnsi="Times New Roman" w:cs="Times New Roman"/>
          <w:sz w:val="24"/>
          <w:szCs w:val="24"/>
        </w:rPr>
        <w:t xml:space="preserve">en </w:t>
      </w:r>
      <w:r w:rsidR="002C2175" w:rsidRPr="00902DA8">
        <w:rPr>
          <w:rFonts w:ascii="Times New Roman" w:hAnsi="Times New Roman" w:cs="Times New Roman"/>
          <w:sz w:val="24"/>
          <w:szCs w:val="24"/>
        </w:rPr>
        <w:t xml:space="preserve">los </w:t>
      </w:r>
      <w:r w:rsidR="001122C8" w:rsidRPr="00902DA8">
        <w:rPr>
          <w:rFonts w:ascii="Times New Roman" w:hAnsi="Times New Roman" w:cs="Times New Roman"/>
          <w:sz w:val="24"/>
          <w:szCs w:val="24"/>
        </w:rPr>
        <w:t xml:space="preserve">sectores económicos </w:t>
      </w:r>
      <w:r w:rsidR="002C2175" w:rsidRPr="00902DA8">
        <w:rPr>
          <w:rFonts w:ascii="Times New Roman" w:hAnsi="Times New Roman" w:cs="Times New Roman"/>
          <w:sz w:val="24"/>
          <w:szCs w:val="24"/>
        </w:rPr>
        <w:t xml:space="preserve">del país. </w:t>
      </w:r>
      <w:r w:rsidR="00F20D40" w:rsidRPr="00902DA8">
        <w:rPr>
          <w:rFonts w:ascii="Times New Roman" w:hAnsi="Times New Roman" w:cs="Times New Roman"/>
          <w:sz w:val="24"/>
          <w:szCs w:val="24"/>
        </w:rPr>
        <w:t xml:space="preserve">Si bien, </w:t>
      </w:r>
      <w:r w:rsidR="00EF0381">
        <w:rPr>
          <w:rFonts w:ascii="Times New Roman" w:hAnsi="Times New Roman" w:cs="Times New Roman"/>
          <w:sz w:val="24"/>
          <w:szCs w:val="24"/>
        </w:rPr>
        <w:t>los montos certificados por la l</w:t>
      </w:r>
      <w:r w:rsidR="00F20D40" w:rsidRPr="00902DA8">
        <w:rPr>
          <w:rFonts w:ascii="Times New Roman" w:hAnsi="Times New Roman" w:cs="Times New Roman"/>
          <w:sz w:val="24"/>
          <w:szCs w:val="24"/>
        </w:rPr>
        <w:t xml:space="preserve">ey consideran una gran variedad de sectores, el sector minero concentra el 18% de los </w:t>
      </w:r>
      <w:r w:rsidR="00EF0381">
        <w:rPr>
          <w:rFonts w:ascii="Times New Roman" w:hAnsi="Times New Roman" w:cs="Times New Roman"/>
          <w:sz w:val="24"/>
          <w:szCs w:val="24"/>
        </w:rPr>
        <w:t>montos, seguido por pesca y a</w:t>
      </w:r>
      <w:r w:rsidR="00F20D40" w:rsidRPr="00902DA8">
        <w:rPr>
          <w:rFonts w:ascii="Times New Roman" w:hAnsi="Times New Roman" w:cs="Times New Roman"/>
          <w:sz w:val="24"/>
          <w:szCs w:val="24"/>
        </w:rPr>
        <w:t>cuicultura, y el sector agropecuario con un 10% cada uno, según el Gráfico 2.3. Estos sectores siguen la composición de la matriz productiva del país alineando los esfuerzos en investigación y desarrollo.</w:t>
      </w:r>
    </w:p>
    <w:p w14:paraId="12B23B09" w14:textId="6567CC00" w:rsidR="002C2175" w:rsidRPr="006A0175" w:rsidRDefault="002C2175" w:rsidP="002C2175">
      <w:pPr>
        <w:pStyle w:val="Sinespaciado"/>
        <w:jc w:val="center"/>
        <w:rPr>
          <w:rFonts w:ascii="Times New Roman" w:hAnsi="Times New Roman"/>
          <w:sz w:val="24"/>
          <w:szCs w:val="24"/>
          <w:u w:val="single"/>
        </w:rPr>
      </w:pPr>
      <w:r w:rsidRPr="006A0175">
        <w:rPr>
          <w:rFonts w:ascii="Times New Roman" w:hAnsi="Times New Roman"/>
          <w:sz w:val="24"/>
          <w:szCs w:val="24"/>
          <w:u w:val="single"/>
        </w:rPr>
        <w:t>Gráfico 2.3: Montos certificados ley I+D según</w:t>
      </w:r>
      <w:r w:rsidR="00EF0381">
        <w:rPr>
          <w:rFonts w:ascii="Times New Roman" w:hAnsi="Times New Roman"/>
          <w:sz w:val="24"/>
          <w:szCs w:val="24"/>
          <w:u w:val="single"/>
        </w:rPr>
        <w:t xml:space="preserve"> tamaño de empresas, </w:t>
      </w:r>
      <w:proofErr w:type="gramStart"/>
      <w:r w:rsidR="00EF0381">
        <w:rPr>
          <w:rFonts w:ascii="Times New Roman" w:hAnsi="Times New Roman"/>
          <w:sz w:val="24"/>
          <w:szCs w:val="24"/>
          <w:u w:val="single"/>
        </w:rPr>
        <w:t>histórico ley</w:t>
      </w:r>
      <w:proofErr w:type="gramEnd"/>
      <w:r w:rsidRPr="006A0175">
        <w:rPr>
          <w:rFonts w:ascii="Times New Roman" w:hAnsi="Times New Roman"/>
          <w:sz w:val="24"/>
          <w:szCs w:val="24"/>
          <w:u w:val="single"/>
        </w:rPr>
        <w:t xml:space="preserve"> (</w:t>
      </w:r>
      <w:r w:rsidR="00F20D40" w:rsidRPr="006A0175">
        <w:rPr>
          <w:rFonts w:ascii="Times New Roman" w:hAnsi="Times New Roman"/>
          <w:sz w:val="24"/>
          <w:szCs w:val="24"/>
          <w:u w:val="single"/>
        </w:rPr>
        <w:t>Millones de pesos</w:t>
      </w:r>
      <w:r w:rsidRPr="006A0175">
        <w:rPr>
          <w:rFonts w:ascii="Times New Roman" w:hAnsi="Times New Roman"/>
          <w:sz w:val="24"/>
          <w:szCs w:val="24"/>
          <w:u w:val="single"/>
        </w:rPr>
        <w:t>)</w:t>
      </w:r>
    </w:p>
    <w:p w14:paraId="3EDAEFA4" w14:textId="70283B05" w:rsidR="002C2175" w:rsidRPr="006A0175" w:rsidRDefault="002C2175" w:rsidP="00CC64DC">
      <w:pPr>
        <w:pStyle w:val="Sinespaciado"/>
        <w:jc w:val="both"/>
        <w:rPr>
          <w:rFonts w:ascii="Times New Roman" w:hAnsi="Times New Roman"/>
          <w:sz w:val="24"/>
          <w:szCs w:val="24"/>
        </w:rPr>
      </w:pPr>
    </w:p>
    <w:p w14:paraId="526D23DB" w14:textId="53881C93" w:rsidR="002C2175" w:rsidRPr="006A0175" w:rsidRDefault="002C2175" w:rsidP="002C2175">
      <w:pPr>
        <w:pStyle w:val="Sinespaciado"/>
        <w:jc w:val="center"/>
        <w:rPr>
          <w:rFonts w:ascii="Times New Roman" w:hAnsi="Times New Roman"/>
          <w:sz w:val="24"/>
          <w:szCs w:val="24"/>
        </w:rPr>
      </w:pPr>
      <w:r w:rsidRPr="006A0175">
        <w:rPr>
          <w:rFonts w:ascii="Times New Roman" w:hAnsi="Times New Roman"/>
          <w:noProof/>
          <w:sz w:val="24"/>
          <w:szCs w:val="24"/>
        </w:rPr>
        <w:drawing>
          <wp:inline distT="0" distB="0" distL="0" distR="0" wp14:anchorId="27BD0EAB" wp14:editId="415FE392">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AB9F36" w14:textId="77777777" w:rsidR="000474A9" w:rsidRPr="000474A9" w:rsidRDefault="000474A9" w:rsidP="000474A9">
      <w:pPr>
        <w:pStyle w:val="Sinespaciado"/>
        <w:jc w:val="both"/>
        <w:rPr>
          <w:rFonts w:ascii="Times New Roman" w:hAnsi="Times New Roman"/>
          <w:sz w:val="20"/>
          <w:szCs w:val="20"/>
        </w:rPr>
      </w:pPr>
      <w:r w:rsidRPr="000474A9">
        <w:rPr>
          <w:rFonts w:ascii="Times New Roman" w:hAnsi="Times New Roman"/>
          <w:sz w:val="20"/>
          <w:szCs w:val="20"/>
        </w:rPr>
        <w:t xml:space="preserve">Fuente: </w:t>
      </w:r>
      <w:r>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p>
    <w:p w14:paraId="16AB65C5" w14:textId="77777777" w:rsidR="00CC64DC" w:rsidRPr="006A0175" w:rsidRDefault="00CC64DC" w:rsidP="00CC64DC">
      <w:pPr>
        <w:pStyle w:val="Sinespaciado"/>
        <w:jc w:val="both"/>
        <w:rPr>
          <w:rFonts w:ascii="Times New Roman" w:hAnsi="Times New Roman"/>
          <w:sz w:val="24"/>
          <w:szCs w:val="24"/>
        </w:rPr>
      </w:pPr>
    </w:p>
    <w:p w14:paraId="588B752E" w14:textId="4B8A25F0" w:rsidR="00834581" w:rsidRPr="000474A9" w:rsidRDefault="001122C8" w:rsidP="000474A9">
      <w:pPr>
        <w:jc w:val="both"/>
        <w:rPr>
          <w:rFonts w:ascii="Times New Roman" w:hAnsi="Times New Roman" w:cs="Times New Roman"/>
          <w:sz w:val="24"/>
          <w:szCs w:val="24"/>
        </w:rPr>
      </w:pPr>
      <w:r w:rsidRPr="00902DA8">
        <w:rPr>
          <w:rFonts w:ascii="Times New Roman" w:hAnsi="Times New Roman" w:cs="Times New Roman"/>
          <w:sz w:val="24"/>
          <w:szCs w:val="24"/>
        </w:rPr>
        <w:lastRenderedPageBreak/>
        <w:t xml:space="preserve">Por otra </w:t>
      </w:r>
      <w:r w:rsidR="00F20D40" w:rsidRPr="00902DA8">
        <w:rPr>
          <w:rFonts w:ascii="Times New Roman" w:hAnsi="Times New Roman" w:cs="Times New Roman"/>
          <w:sz w:val="24"/>
          <w:szCs w:val="24"/>
        </w:rPr>
        <w:t>parte,</w:t>
      </w:r>
      <w:r w:rsidRPr="00902DA8">
        <w:rPr>
          <w:rFonts w:ascii="Times New Roman" w:hAnsi="Times New Roman" w:cs="Times New Roman"/>
          <w:sz w:val="24"/>
          <w:szCs w:val="24"/>
        </w:rPr>
        <w:t xml:space="preserve"> </w:t>
      </w:r>
      <w:r w:rsidR="00F20D40" w:rsidRPr="00902DA8">
        <w:rPr>
          <w:rFonts w:ascii="Times New Roman" w:hAnsi="Times New Roman" w:cs="Times New Roman"/>
          <w:sz w:val="24"/>
          <w:szCs w:val="24"/>
        </w:rPr>
        <w:t xml:space="preserve">los montos certificados por la </w:t>
      </w:r>
      <w:r w:rsidR="00EF0381">
        <w:rPr>
          <w:rFonts w:ascii="Times New Roman" w:hAnsi="Times New Roman" w:cs="Times New Roman"/>
          <w:sz w:val="24"/>
          <w:szCs w:val="24"/>
        </w:rPr>
        <w:t>l</w:t>
      </w:r>
      <w:r w:rsidR="00F20D40" w:rsidRPr="00902DA8">
        <w:rPr>
          <w:rFonts w:ascii="Times New Roman" w:hAnsi="Times New Roman" w:cs="Times New Roman"/>
          <w:sz w:val="24"/>
          <w:szCs w:val="24"/>
        </w:rPr>
        <w:t>ey</w:t>
      </w:r>
      <w:r w:rsidRPr="00902DA8">
        <w:rPr>
          <w:rFonts w:ascii="Times New Roman" w:hAnsi="Times New Roman" w:cs="Times New Roman"/>
          <w:sz w:val="24"/>
          <w:szCs w:val="24"/>
        </w:rPr>
        <w:t xml:space="preserve"> está</w:t>
      </w:r>
      <w:r w:rsidR="00F20D40" w:rsidRPr="00902DA8">
        <w:rPr>
          <w:rFonts w:ascii="Times New Roman" w:hAnsi="Times New Roman" w:cs="Times New Roman"/>
          <w:sz w:val="24"/>
          <w:szCs w:val="24"/>
        </w:rPr>
        <w:t>n</w:t>
      </w:r>
      <w:r w:rsidRPr="00902DA8">
        <w:rPr>
          <w:rFonts w:ascii="Times New Roman" w:hAnsi="Times New Roman" w:cs="Times New Roman"/>
          <w:sz w:val="24"/>
          <w:szCs w:val="24"/>
        </w:rPr>
        <w:t xml:space="preserve"> fuertemente centralizado</w:t>
      </w:r>
      <w:r w:rsidR="00F20D40" w:rsidRPr="00902DA8">
        <w:rPr>
          <w:rFonts w:ascii="Times New Roman" w:hAnsi="Times New Roman" w:cs="Times New Roman"/>
          <w:sz w:val="24"/>
          <w:szCs w:val="24"/>
        </w:rPr>
        <w:t>s</w:t>
      </w:r>
      <w:r w:rsidR="00EF0381">
        <w:rPr>
          <w:rFonts w:ascii="Times New Roman" w:hAnsi="Times New Roman" w:cs="Times New Roman"/>
          <w:sz w:val="24"/>
          <w:szCs w:val="24"/>
        </w:rPr>
        <w:t xml:space="preserve"> en empresas de la R</w:t>
      </w:r>
      <w:r w:rsidRPr="00902DA8">
        <w:rPr>
          <w:rFonts w:ascii="Times New Roman" w:hAnsi="Times New Roman" w:cs="Times New Roman"/>
          <w:sz w:val="24"/>
          <w:szCs w:val="24"/>
        </w:rPr>
        <w:t>e</w:t>
      </w:r>
      <w:r w:rsidR="00EF0381">
        <w:rPr>
          <w:rFonts w:ascii="Times New Roman" w:hAnsi="Times New Roman" w:cs="Times New Roman"/>
          <w:sz w:val="24"/>
          <w:szCs w:val="24"/>
        </w:rPr>
        <w:t>gión M</w:t>
      </w:r>
      <w:r w:rsidRPr="00902DA8">
        <w:rPr>
          <w:rFonts w:ascii="Times New Roman" w:hAnsi="Times New Roman" w:cs="Times New Roman"/>
          <w:sz w:val="24"/>
          <w:szCs w:val="24"/>
        </w:rPr>
        <w:t>etrop</w:t>
      </w:r>
      <w:r w:rsidR="00031F33" w:rsidRPr="00902DA8">
        <w:rPr>
          <w:rFonts w:ascii="Times New Roman" w:hAnsi="Times New Roman" w:cs="Times New Roman"/>
          <w:sz w:val="24"/>
          <w:szCs w:val="24"/>
        </w:rPr>
        <w:t>olitana, la cual concentra el 55</w:t>
      </w:r>
      <w:r w:rsidRPr="00902DA8">
        <w:rPr>
          <w:rFonts w:ascii="Times New Roman" w:hAnsi="Times New Roman" w:cs="Times New Roman"/>
          <w:sz w:val="24"/>
          <w:szCs w:val="24"/>
        </w:rPr>
        <w:t>% del total país</w:t>
      </w:r>
      <w:r w:rsidR="00031F33" w:rsidRPr="00902DA8">
        <w:rPr>
          <w:rFonts w:ascii="Times New Roman" w:hAnsi="Times New Roman" w:cs="Times New Roman"/>
          <w:sz w:val="24"/>
          <w:szCs w:val="24"/>
        </w:rPr>
        <w:t xml:space="preserve"> desd</w:t>
      </w:r>
      <w:r w:rsidR="00EF0381">
        <w:rPr>
          <w:rFonts w:ascii="Times New Roman" w:hAnsi="Times New Roman" w:cs="Times New Roman"/>
          <w:sz w:val="24"/>
          <w:szCs w:val="24"/>
        </w:rPr>
        <w:t>e la entrada en vigencia de la l</w:t>
      </w:r>
      <w:r w:rsidR="00031F33" w:rsidRPr="00902DA8">
        <w:rPr>
          <w:rFonts w:ascii="Times New Roman" w:hAnsi="Times New Roman" w:cs="Times New Roman"/>
          <w:sz w:val="24"/>
          <w:szCs w:val="24"/>
        </w:rPr>
        <w:t>ey</w:t>
      </w:r>
      <w:r w:rsidRPr="00902DA8">
        <w:rPr>
          <w:rFonts w:ascii="Times New Roman" w:hAnsi="Times New Roman" w:cs="Times New Roman"/>
          <w:sz w:val="24"/>
          <w:szCs w:val="24"/>
        </w:rPr>
        <w:t xml:space="preserve">, seguido de lejos por </w:t>
      </w:r>
      <w:r w:rsidR="00DB29AB">
        <w:rPr>
          <w:rFonts w:ascii="Times New Roman" w:hAnsi="Times New Roman" w:cs="Times New Roman"/>
          <w:sz w:val="24"/>
          <w:szCs w:val="24"/>
        </w:rPr>
        <w:t xml:space="preserve">la Región de </w:t>
      </w:r>
      <w:r w:rsidRPr="00902DA8">
        <w:rPr>
          <w:rFonts w:ascii="Times New Roman" w:hAnsi="Times New Roman" w:cs="Times New Roman"/>
          <w:sz w:val="24"/>
          <w:szCs w:val="24"/>
        </w:rPr>
        <w:t>Ant</w:t>
      </w:r>
      <w:r w:rsidR="003611C3" w:rsidRPr="00902DA8">
        <w:rPr>
          <w:rFonts w:ascii="Times New Roman" w:hAnsi="Times New Roman" w:cs="Times New Roman"/>
          <w:sz w:val="24"/>
          <w:szCs w:val="24"/>
        </w:rPr>
        <w:t>o</w:t>
      </w:r>
      <w:r w:rsidRPr="00902DA8">
        <w:rPr>
          <w:rFonts w:ascii="Times New Roman" w:hAnsi="Times New Roman" w:cs="Times New Roman"/>
          <w:sz w:val="24"/>
          <w:szCs w:val="24"/>
        </w:rPr>
        <w:t>f</w:t>
      </w:r>
      <w:r w:rsidR="003611C3" w:rsidRPr="00902DA8">
        <w:rPr>
          <w:rFonts w:ascii="Times New Roman" w:hAnsi="Times New Roman" w:cs="Times New Roman"/>
          <w:sz w:val="24"/>
          <w:szCs w:val="24"/>
        </w:rPr>
        <w:t>a</w:t>
      </w:r>
      <w:r w:rsidRPr="00902DA8">
        <w:rPr>
          <w:rFonts w:ascii="Times New Roman" w:hAnsi="Times New Roman" w:cs="Times New Roman"/>
          <w:sz w:val="24"/>
          <w:szCs w:val="24"/>
        </w:rPr>
        <w:t xml:space="preserve">gasta y </w:t>
      </w:r>
      <w:r w:rsidR="00DB29AB">
        <w:rPr>
          <w:rFonts w:ascii="Times New Roman" w:hAnsi="Times New Roman" w:cs="Times New Roman"/>
          <w:sz w:val="24"/>
          <w:szCs w:val="24"/>
        </w:rPr>
        <w:t xml:space="preserve">la del </w:t>
      </w:r>
      <w:proofErr w:type="spellStart"/>
      <w:r w:rsidRPr="00902DA8">
        <w:rPr>
          <w:rFonts w:ascii="Times New Roman" w:hAnsi="Times New Roman" w:cs="Times New Roman"/>
          <w:sz w:val="24"/>
          <w:szCs w:val="24"/>
        </w:rPr>
        <w:t>Bío</w:t>
      </w:r>
      <w:proofErr w:type="spellEnd"/>
      <w:r w:rsidRPr="00902DA8">
        <w:rPr>
          <w:rFonts w:ascii="Times New Roman" w:hAnsi="Times New Roman" w:cs="Times New Roman"/>
          <w:sz w:val="24"/>
          <w:szCs w:val="24"/>
        </w:rPr>
        <w:t xml:space="preserve"> </w:t>
      </w:r>
      <w:proofErr w:type="spellStart"/>
      <w:r w:rsidRPr="00902DA8">
        <w:rPr>
          <w:rFonts w:ascii="Times New Roman" w:hAnsi="Times New Roman" w:cs="Times New Roman"/>
          <w:sz w:val="24"/>
          <w:szCs w:val="24"/>
        </w:rPr>
        <w:t>B</w:t>
      </w:r>
      <w:r w:rsidR="00EF0381">
        <w:rPr>
          <w:rFonts w:ascii="Times New Roman" w:hAnsi="Times New Roman" w:cs="Times New Roman"/>
          <w:sz w:val="24"/>
          <w:szCs w:val="24"/>
        </w:rPr>
        <w:t>í</w:t>
      </w:r>
      <w:r w:rsidR="00031F33" w:rsidRPr="00902DA8">
        <w:rPr>
          <w:rFonts w:ascii="Times New Roman" w:hAnsi="Times New Roman" w:cs="Times New Roman"/>
          <w:sz w:val="24"/>
          <w:szCs w:val="24"/>
        </w:rPr>
        <w:t>o</w:t>
      </w:r>
      <w:proofErr w:type="spellEnd"/>
      <w:r w:rsidR="00031F33" w:rsidRPr="00902DA8">
        <w:rPr>
          <w:rFonts w:ascii="Times New Roman" w:hAnsi="Times New Roman" w:cs="Times New Roman"/>
          <w:sz w:val="24"/>
          <w:szCs w:val="24"/>
        </w:rPr>
        <w:t xml:space="preserve"> con 10</w:t>
      </w:r>
      <w:r w:rsidRPr="00902DA8">
        <w:rPr>
          <w:rFonts w:ascii="Times New Roman" w:hAnsi="Times New Roman" w:cs="Times New Roman"/>
          <w:sz w:val="24"/>
          <w:szCs w:val="24"/>
        </w:rPr>
        <w:t xml:space="preserve">% </w:t>
      </w:r>
      <w:r w:rsidR="00031F33" w:rsidRPr="00902DA8">
        <w:rPr>
          <w:rFonts w:ascii="Times New Roman" w:hAnsi="Times New Roman" w:cs="Times New Roman"/>
          <w:sz w:val="24"/>
          <w:szCs w:val="24"/>
        </w:rPr>
        <w:t>cada uno (Gráfico 2.4). Cabe resaltar que hasta diciembre de 2015 no se han registrado proyectos ni contratos certificados en la región de Aysén.</w:t>
      </w:r>
    </w:p>
    <w:p w14:paraId="54DDD2A4" w14:textId="7564D467" w:rsidR="00834581" w:rsidRPr="006A0175" w:rsidRDefault="00834581" w:rsidP="00834581">
      <w:pPr>
        <w:pStyle w:val="Sinespaciado"/>
        <w:jc w:val="center"/>
        <w:rPr>
          <w:rFonts w:ascii="Times New Roman" w:hAnsi="Times New Roman"/>
          <w:sz w:val="24"/>
          <w:szCs w:val="24"/>
          <w:u w:val="single"/>
        </w:rPr>
      </w:pPr>
      <w:r w:rsidRPr="006A0175">
        <w:rPr>
          <w:rFonts w:ascii="Times New Roman" w:hAnsi="Times New Roman"/>
          <w:sz w:val="24"/>
          <w:szCs w:val="24"/>
          <w:u w:val="single"/>
        </w:rPr>
        <w:t>Gráfico 2.4: Montos certificados ley I+D según</w:t>
      </w:r>
      <w:r w:rsidR="00EF0381">
        <w:rPr>
          <w:rFonts w:ascii="Times New Roman" w:hAnsi="Times New Roman"/>
          <w:sz w:val="24"/>
          <w:szCs w:val="24"/>
          <w:u w:val="single"/>
        </w:rPr>
        <w:t xml:space="preserve"> tamaño de empresas, </w:t>
      </w:r>
      <w:proofErr w:type="gramStart"/>
      <w:r w:rsidR="00EF0381">
        <w:rPr>
          <w:rFonts w:ascii="Times New Roman" w:hAnsi="Times New Roman"/>
          <w:sz w:val="24"/>
          <w:szCs w:val="24"/>
          <w:u w:val="single"/>
        </w:rPr>
        <w:t>histórico l</w:t>
      </w:r>
      <w:r w:rsidRPr="006A0175">
        <w:rPr>
          <w:rFonts w:ascii="Times New Roman" w:hAnsi="Times New Roman"/>
          <w:sz w:val="24"/>
          <w:szCs w:val="24"/>
          <w:u w:val="single"/>
        </w:rPr>
        <w:t>ey</w:t>
      </w:r>
      <w:proofErr w:type="gramEnd"/>
      <w:r w:rsidRPr="006A0175">
        <w:rPr>
          <w:rFonts w:ascii="Times New Roman" w:hAnsi="Times New Roman"/>
          <w:sz w:val="24"/>
          <w:szCs w:val="24"/>
          <w:u w:val="single"/>
        </w:rPr>
        <w:t xml:space="preserve"> (Millones de pesos)</w:t>
      </w:r>
    </w:p>
    <w:p w14:paraId="5270160B" w14:textId="0249C62C" w:rsidR="00C70D9B" w:rsidRPr="006A0175" w:rsidRDefault="00C70D9B" w:rsidP="00CC64DC">
      <w:pPr>
        <w:pStyle w:val="Sinespaciado"/>
        <w:jc w:val="both"/>
        <w:rPr>
          <w:rFonts w:ascii="Times New Roman" w:hAnsi="Times New Roman"/>
          <w:sz w:val="24"/>
          <w:szCs w:val="24"/>
        </w:rPr>
      </w:pPr>
    </w:p>
    <w:p w14:paraId="7C8FB522" w14:textId="1B47F77E" w:rsidR="00C70D9B" w:rsidRPr="006A0175" w:rsidRDefault="00C70D9B" w:rsidP="00CC64DC">
      <w:pPr>
        <w:pStyle w:val="Sinespaciado"/>
        <w:jc w:val="both"/>
        <w:rPr>
          <w:rFonts w:ascii="Times New Roman" w:hAnsi="Times New Roman"/>
          <w:color w:val="231F20"/>
          <w:sz w:val="24"/>
          <w:szCs w:val="24"/>
        </w:rPr>
      </w:pPr>
      <w:r w:rsidRPr="006A0175">
        <w:rPr>
          <w:rFonts w:ascii="Times New Roman" w:hAnsi="Times New Roman"/>
          <w:noProof/>
          <w:sz w:val="24"/>
          <w:szCs w:val="24"/>
        </w:rPr>
        <w:drawing>
          <wp:inline distT="0" distB="0" distL="0" distR="0" wp14:anchorId="32EE4E9A" wp14:editId="5FB7E876">
            <wp:extent cx="5534025" cy="33147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0794AF" w14:textId="77777777" w:rsidR="000474A9" w:rsidRPr="000474A9" w:rsidRDefault="000474A9" w:rsidP="000474A9">
      <w:pPr>
        <w:pStyle w:val="Sinespaciado"/>
        <w:jc w:val="both"/>
        <w:rPr>
          <w:rFonts w:ascii="Times New Roman" w:hAnsi="Times New Roman"/>
          <w:sz w:val="20"/>
          <w:szCs w:val="20"/>
        </w:rPr>
      </w:pPr>
      <w:r w:rsidRPr="000474A9">
        <w:rPr>
          <w:rFonts w:ascii="Times New Roman" w:hAnsi="Times New Roman"/>
          <w:sz w:val="20"/>
          <w:szCs w:val="20"/>
        </w:rPr>
        <w:t xml:space="preserve">Fuente: </w:t>
      </w:r>
      <w:r>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p>
    <w:p w14:paraId="187AD089" w14:textId="209DC799" w:rsidR="00B911CD" w:rsidRDefault="00B911CD" w:rsidP="002E2342">
      <w:pPr>
        <w:pStyle w:val="Sinespaciado"/>
        <w:rPr>
          <w:rFonts w:ascii="Times New Roman" w:hAnsi="Times New Roman"/>
          <w:color w:val="231F20"/>
          <w:sz w:val="24"/>
          <w:szCs w:val="24"/>
        </w:rPr>
      </w:pPr>
    </w:p>
    <w:p w14:paraId="5DBF5070" w14:textId="04F66B6E" w:rsidR="00B911CD" w:rsidRDefault="00B911CD" w:rsidP="00B911CD">
      <w:pPr>
        <w:pStyle w:val="Ttulo2"/>
      </w:pPr>
      <w:bookmarkStart w:id="8" w:name="_Toc470081852"/>
      <w:r>
        <w:t>Cobertura</w:t>
      </w:r>
      <w:bookmarkEnd w:id="8"/>
    </w:p>
    <w:p w14:paraId="0A578F5C" w14:textId="273CD768" w:rsidR="00D20D11" w:rsidRDefault="00EF28FD" w:rsidP="002E2342">
      <w:pPr>
        <w:pStyle w:val="Sinespaciado"/>
        <w:jc w:val="both"/>
        <w:rPr>
          <w:rFonts w:ascii="Times New Roman" w:hAnsi="Times New Roman"/>
          <w:color w:val="231F20"/>
          <w:sz w:val="24"/>
          <w:szCs w:val="24"/>
        </w:rPr>
      </w:pPr>
      <w:r>
        <w:rPr>
          <w:rFonts w:ascii="Times New Roman" w:hAnsi="Times New Roman"/>
          <w:color w:val="231F20"/>
          <w:sz w:val="24"/>
          <w:szCs w:val="24"/>
        </w:rPr>
        <w:t>Desde el año de entrada en vigencia de</w:t>
      </w:r>
      <w:r w:rsidR="00DB29AB">
        <w:rPr>
          <w:rFonts w:ascii="Times New Roman" w:hAnsi="Times New Roman"/>
          <w:color w:val="231F20"/>
          <w:sz w:val="24"/>
          <w:szCs w:val="24"/>
        </w:rPr>
        <w:t xml:space="preserve"> la Ley (2008) hasta la última Encuesta de Gasto y P</w:t>
      </w:r>
      <w:r>
        <w:rPr>
          <w:rFonts w:ascii="Times New Roman" w:hAnsi="Times New Roman"/>
          <w:color w:val="231F20"/>
          <w:sz w:val="24"/>
          <w:szCs w:val="24"/>
        </w:rPr>
        <w:t>ersonal en I+D con año de referencia 2014, el gasto en I+D ha aumentado un 0,1%, como porcentaje del PIB, desde 0,37 a 0,38 por cien</w:t>
      </w:r>
      <w:r w:rsidR="00DB29AB">
        <w:rPr>
          <w:rFonts w:ascii="Times New Roman" w:hAnsi="Times New Roman"/>
          <w:color w:val="231F20"/>
          <w:sz w:val="24"/>
          <w:szCs w:val="24"/>
        </w:rPr>
        <w:t>to</w:t>
      </w:r>
      <w:r>
        <w:rPr>
          <w:rFonts w:ascii="Times New Roman" w:hAnsi="Times New Roman"/>
          <w:color w:val="231F20"/>
          <w:sz w:val="24"/>
          <w:szCs w:val="24"/>
        </w:rPr>
        <w:t xml:space="preserve">. Para el mismo periodo de tiempo, el gasto total en </w:t>
      </w:r>
      <w:r w:rsidR="00210237">
        <w:rPr>
          <w:rFonts w:ascii="Times New Roman" w:hAnsi="Times New Roman"/>
          <w:color w:val="231F20"/>
          <w:sz w:val="24"/>
          <w:szCs w:val="24"/>
        </w:rPr>
        <w:t>I+D del país ha aumentado un 36,71%, comparado con un aumento de real del gasto de empresas en I+D de 13,26% para el mismo intervalo de años. Lo anterior resalta al menos dos puntos a considerar, en primer lugar, el gasto en I+D total del país crece a un ritmo superior que el PIB del país (24,06%) p</w:t>
      </w:r>
      <w:r w:rsidR="006D32D8">
        <w:rPr>
          <w:rFonts w:ascii="Times New Roman" w:hAnsi="Times New Roman"/>
          <w:color w:val="231F20"/>
          <w:sz w:val="24"/>
          <w:szCs w:val="24"/>
        </w:rPr>
        <w:t xml:space="preserve">ara el mismo periodo de tiempo </w:t>
      </w:r>
      <w:r w:rsidR="00D20D11">
        <w:rPr>
          <w:rFonts w:ascii="Times New Roman" w:hAnsi="Times New Roman"/>
          <w:color w:val="231F20"/>
          <w:sz w:val="24"/>
          <w:szCs w:val="24"/>
        </w:rPr>
        <w:t>y,</w:t>
      </w:r>
      <w:r w:rsidR="00210237">
        <w:rPr>
          <w:rFonts w:ascii="Times New Roman" w:hAnsi="Times New Roman"/>
          <w:color w:val="231F20"/>
          <w:sz w:val="24"/>
          <w:szCs w:val="24"/>
        </w:rPr>
        <w:t xml:space="preserve"> en segundo lugar, ese crecimiento del gasto en I+D es explicado en mayor medida por otros sectores que el sector empresarial, es decir por las universidades, el Estado y las Instituciones Priva</w:t>
      </w:r>
      <w:r w:rsidR="006D32D8">
        <w:rPr>
          <w:rFonts w:ascii="Times New Roman" w:hAnsi="Times New Roman"/>
          <w:color w:val="231F20"/>
          <w:sz w:val="24"/>
          <w:szCs w:val="24"/>
        </w:rPr>
        <w:t>das Sin Fines de Lucro</w:t>
      </w:r>
      <w:r w:rsidR="00D20D11">
        <w:rPr>
          <w:rFonts w:ascii="Times New Roman" w:hAnsi="Times New Roman"/>
          <w:color w:val="231F20"/>
          <w:sz w:val="24"/>
          <w:szCs w:val="24"/>
        </w:rPr>
        <w:t>.</w:t>
      </w:r>
    </w:p>
    <w:p w14:paraId="57C7ADDF" w14:textId="22662053" w:rsidR="00D20D11" w:rsidRDefault="00D20D11" w:rsidP="002E2342">
      <w:pPr>
        <w:pStyle w:val="Sinespaciado"/>
        <w:jc w:val="both"/>
        <w:rPr>
          <w:rFonts w:ascii="Times New Roman" w:hAnsi="Times New Roman"/>
          <w:color w:val="231F20"/>
          <w:sz w:val="24"/>
          <w:szCs w:val="24"/>
        </w:rPr>
      </w:pPr>
    </w:p>
    <w:p w14:paraId="01634EE3" w14:textId="7EC3C6B7" w:rsidR="00D20D11" w:rsidRDefault="00DB29AB" w:rsidP="00D20D11">
      <w:pPr>
        <w:pStyle w:val="Sinespaciado"/>
        <w:jc w:val="both"/>
        <w:rPr>
          <w:rFonts w:ascii="Times New Roman" w:hAnsi="Times New Roman"/>
          <w:color w:val="231F20"/>
          <w:sz w:val="24"/>
          <w:szCs w:val="24"/>
        </w:rPr>
      </w:pPr>
      <w:r>
        <w:rPr>
          <w:rFonts w:ascii="Times New Roman" w:hAnsi="Times New Roman"/>
          <w:color w:val="231F20"/>
          <w:sz w:val="24"/>
          <w:szCs w:val="24"/>
        </w:rPr>
        <w:t>El Cuadro 2</w:t>
      </w:r>
      <w:r w:rsidR="00D20D11">
        <w:rPr>
          <w:rFonts w:ascii="Times New Roman" w:hAnsi="Times New Roman"/>
          <w:color w:val="231F20"/>
          <w:sz w:val="24"/>
          <w:szCs w:val="24"/>
        </w:rPr>
        <w:t>.1 muestra que para 2014, los montos certificados por la Ley de I+D equivalen al 18% del monto ej</w:t>
      </w:r>
      <w:r w:rsidR="00EE5DEF">
        <w:rPr>
          <w:rFonts w:ascii="Times New Roman" w:hAnsi="Times New Roman"/>
          <w:color w:val="231F20"/>
          <w:sz w:val="24"/>
          <w:szCs w:val="24"/>
        </w:rPr>
        <w:t>ecutado por empresas en Chile (5</w:t>
      </w:r>
      <w:r w:rsidR="00D20D11">
        <w:rPr>
          <w:rFonts w:ascii="Times New Roman" w:hAnsi="Times New Roman"/>
          <w:color w:val="231F20"/>
          <w:sz w:val="24"/>
          <w:szCs w:val="24"/>
        </w:rPr>
        <w:t>% del gasto total ejecutado en el país)</w:t>
      </w:r>
      <w:r w:rsidR="00D20D11" w:rsidRPr="00D20D11">
        <w:rPr>
          <w:rFonts w:ascii="Times New Roman" w:hAnsi="Times New Roman"/>
          <w:color w:val="231F20"/>
          <w:sz w:val="24"/>
          <w:szCs w:val="24"/>
        </w:rPr>
        <w:t xml:space="preserve">. </w:t>
      </w:r>
      <w:r w:rsidR="00D20D11" w:rsidRPr="00D20D11">
        <w:rPr>
          <w:rFonts w:ascii="Times New Roman" w:hAnsi="Times New Roman"/>
          <w:color w:val="231F20"/>
          <w:sz w:val="24"/>
          <w:szCs w:val="24"/>
        </w:rPr>
        <w:lastRenderedPageBreak/>
        <w:t xml:space="preserve">No deja de sorprender que </w:t>
      </w:r>
      <w:r w:rsidR="00CE39D4">
        <w:rPr>
          <w:rFonts w:ascii="Times New Roman" w:hAnsi="Times New Roman"/>
          <w:color w:val="231F20"/>
          <w:sz w:val="24"/>
          <w:szCs w:val="24"/>
        </w:rPr>
        <w:t xml:space="preserve">de </w:t>
      </w:r>
      <w:r w:rsidR="00D20D11" w:rsidRPr="00D20D11">
        <w:rPr>
          <w:rFonts w:ascii="Times New Roman" w:hAnsi="Times New Roman"/>
          <w:color w:val="231F20"/>
          <w:sz w:val="24"/>
          <w:szCs w:val="24"/>
        </w:rPr>
        <w:t>cada 10 pesos invertidos por empresas en I+D en Chile, solo 1</w:t>
      </w:r>
      <w:r w:rsidR="00D20D11">
        <w:rPr>
          <w:rFonts w:ascii="Times New Roman" w:hAnsi="Times New Roman"/>
          <w:color w:val="231F20"/>
          <w:sz w:val="24"/>
          <w:szCs w:val="24"/>
        </w:rPr>
        <w:t>,8</w:t>
      </w:r>
      <w:r w:rsidR="00D20D11" w:rsidRPr="00D20D11">
        <w:rPr>
          <w:rFonts w:ascii="Times New Roman" w:hAnsi="Times New Roman"/>
          <w:color w:val="231F20"/>
          <w:sz w:val="24"/>
          <w:szCs w:val="24"/>
        </w:rPr>
        <w:t xml:space="preserve"> haya sido afecto a solicitudes de beneficios tributarios. ¿Por qué las empresas no certifican s</w:t>
      </w:r>
      <w:r w:rsidR="00992682">
        <w:rPr>
          <w:rFonts w:ascii="Times New Roman" w:hAnsi="Times New Roman"/>
          <w:color w:val="231F20"/>
          <w:sz w:val="24"/>
          <w:szCs w:val="24"/>
        </w:rPr>
        <w:t>us proyectos o contratos de I+D</w:t>
      </w:r>
      <w:r w:rsidR="00D20D11" w:rsidRPr="00D20D11">
        <w:rPr>
          <w:rFonts w:ascii="Times New Roman" w:hAnsi="Times New Roman"/>
          <w:color w:val="231F20"/>
          <w:sz w:val="24"/>
          <w:szCs w:val="24"/>
        </w:rPr>
        <w:t xml:space="preserve"> pudiendo acceder a beneficios tributarios?</w:t>
      </w:r>
      <w:r w:rsidR="00D20D11">
        <w:rPr>
          <w:rFonts w:ascii="Times New Roman" w:hAnsi="Times New Roman"/>
          <w:color w:val="231F20"/>
          <w:sz w:val="24"/>
          <w:szCs w:val="24"/>
        </w:rPr>
        <w:t xml:space="preserve"> </w:t>
      </w:r>
    </w:p>
    <w:p w14:paraId="01F8FE37" w14:textId="77777777" w:rsidR="00D20D11" w:rsidRDefault="00D20D11" w:rsidP="00D20D11">
      <w:pPr>
        <w:pStyle w:val="Sinespaciado"/>
        <w:jc w:val="both"/>
        <w:rPr>
          <w:rFonts w:ascii="Times New Roman" w:hAnsi="Times New Roman"/>
          <w:color w:val="231F20"/>
          <w:sz w:val="24"/>
          <w:szCs w:val="24"/>
        </w:rPr>
      </w:pPr>
    </w:p>
    <w:p w14:paraId="42F2E199" w14:textId="056716CB" w:rsidR="00D20D11" w:rsidRPr="00992682" w:rsidRDefault="00EE5DEF" w:rsidP="002E2342">
      <w:pPr>
        <w:pStyle w:val="Sinespaciado"/>
        <w:jc w:val="both"/>
        <w:rPr>
          <w:rFonts w:ascii="Times New Roman" w:hAnsi="Times New Roman"/>
          <w:color w:val="231F20"/>
          <w:sz w:val="24"/>
          <w:szCs w:val="24"/>
        </w:rPr>
      </w:pPr>
      <w:r>
        <w:rPr>
          <w:rFonts w:ascii="Times New Roman" w:hAnsi="Times New Roman"/>
          <w:color w:val="231F20"/>
          <w:sz w:val="24"/>
          <w:szCs w:val="24"/>
        </w:rPr>
        <w:t>Al realizar</w:t>
      </w:r>
      <w:r w:rsidR="00D20D11">
        <w:rPr>
          <w:rFonts w:ascii="Times New Roman" w:hAnsi="Times New Roman"/>
          <w:color w:val="231F20"/>
          <w:sz w:val="24"/>
          <w:szCs w:val="24"/>
        </w:rPr>
        <w:t xml:space="preserve"> el mismo análisis con el gasto efec</w:t>
      </w:r>
      <w:r w:rsidR="00550CB7">
        <w:rPr>
          <w:rFonts w:ascii="Times New Roman" w:hAnsi="Times New Roman"/>
          <w:color w:val="231F20"/>
          <w:sz w:val="24"/>
          <w:szCs w:val="24"/>
        </w:rPr>
        <w:t>tivamente ejecutado, el Cuadro 2</w:t>
      </w:r>
      <w:r w:rsidR="00D20D11">
        <w:rPr>
          <w:rFonts w:ascii="Times New Roman" w:hAnsi="Times New Roman"/>
          <w:color w:val="231F20"/>
          <w:sz w:val="24"/>
          <w:szCs w:val="24"/>
        </w:rPr>
        <w:t>.1 refleja que solo el 5% del gasto total ejecutado en Chile en 2014</w:t>
      </w:r>
      <w:r w:rsidR="00992682">
        <w:rPr>
          <w:rFonts w:ascii="Times New Roman" w:hAnsi="Times New Roman"/>
          <w:color w:val="231F20"/>
          <w:sz w:val="24"/>
          <w:szCs w:val="24"/>
        </w:rPr>
        <w:t xml:space="preserve"> fue gasto rendido por empresas que se acogieron al beneficio tributario, lo que implica que solo 10 de cada 100</w:t>
      </w:r>
      <w:r w:rsidR="00992682">
        <w:rPr>
          <w:rStyle w:val="Refdenotaalpie"/>
          <w:rFonts w:ascii="Times New Roman" w:hAnsi="Times New Roman"/>
          <w:color w:val="231F20"/>
          <w:sz w:val="24"/>
          <w:szCs w:val="24"/>
        </w:rPr>
        <w:footnoteReference w:id="9"/>
      </w:r>
      <w:r w:rsidR="00992682">
        <w:rPr>
          <w:rFonts w:ascii="Times New Roman" w:hAnsi="Times New Roman"/>
          <w:color w:val="231F20"/>
          <w:sz w:val="24"/>
          <w:szCs w:val="24"/>
        </w:rPr>
        <w:t xml:space="preserve"> pesos invertidos en I+D en Chile durante 2014 fueron financiados con la Ley, cuando el máximo posible fue de 48 pesos cada 100 invertidos.</w:t>
      </w:r>
    </w:p>
    <w:p w14:paraId="2820F347" w14:textId="77777777" w:rsidR="006D32D8" w:rsidRPr="006A0175" w:rsidRDefault="006D32D8" w:rsidP="006D32D8">
      <w:pPr>
        <w:pStyle w:val="Sinespaciado"/>
        <w:jc w:val="both"/>
        <w:rPr>
          <w:rFonts w:ascii="Times New Roman" w:hAnsi="Times New Roman"/>
          <w:sz w:val="24"/>
          <w:szCs w:val="24"/>
        </w:rPr>
      </w:pPr>
    </w:p>
    <w:p w14:paraId="1321B81F" w14:textId="1167D8A2" w:rsidR="006D32D8" w:rsidRPr="006A0175" w:rsidRDefault="00EF0381" w:rsidP="006D32D8">
      <w:pPr>
        <w:pStyle w:val="Sinespaciado"/>
        <w:jc w:val="center"/>
        <w:rPr>
          <w:rFonts w:ascii="Times New Roman" w:hAnsi="Times New Roman"/>
          <w:sz w:val="24"/>
          <w:szCs w:val="24"/>
          <w:u w:val="single"/>
        </w:rPr>
      </w:pPr>
      <w:r>
        <w:rPr>
          <w:rFonts w:ascii="Times New Roman" w:hAnsi="Times New Roman"/>
          <w:sz w:val="24"/>
          <w:szCs w:val="24"/>
          <w:u w:val="single"/>
        </w:rPr>
        <w:t>Cuadro 2.1</w:t>
      </w:r>
      <w:r w:rsidR="006D32D8" w:rsidRPr="006A0175">
        <w:rPr>
          <w:rFonts w:ascii="Times New Roman" w:hAnsi="Times New Roman"/>
          <w:sz w:val="24"/>
          <w:szCs w:val="24"/>
          <w:u w:val="single"/>
        </w:rPr>
        <w:t>: Monto de proyectos I+D certificados por la ley de incentivo tributario a la I+D</w:t>
      </w:r>
    </w:p>
    <w:p w14:paraId="0FA14220" w14:textId="77777777" w:rsidR="006D32D8" w:rsidRDefault="006D32D8" w:rsidP="006D32D8">
      <w:pPr>
        <w:pStyle w:val="Sinespaciado"/>
        <w:rPr>
          <w:rFonts w:ascii="Times New Roman" w:hAnsi="Times New Roman"/>
          <w:sz w:val="24"/>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
        <w:gridCol w:w="1301"/>
        <w:gridCol w:w="1582"/>
        <w:gridCol w:w="1241"/>
        <w:gridCol w:w="1502"/>
        <w:gridCol w:w="1962"/>
        <w:gridCol w:w="2143"/>
      </w:tblGrid>
      <w:tr w:rsidR="006D32D8" w:rsidRPr="00EF28FD" w14:paraId="08FED80A" w14:textId="77777777" w:rsidTr="00154C3F">
        <w:trPr>
          <w:trHeight w:val="1201"/>
          <w:jc w:val="center"/>
        </w:trPr>
        <w:tc>
          <w:tcPr>
            <w:tcW w:w="546" w:type="dxa"/>
            <w:shd w:val="clear" w:color="000000" w:fill="B4C6E7"/>
            <w:vAlign w:val="center"/>
            <w:hideMark/>
          </w:tcPr>
          <w:p w14:paraId="38727654"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Año</w:t>
            </w:r>
          </w:p>
        </w:tc>
        <w:tc>
          <w:tcPr>
            <w:tcW w:w="1301" w:type="dxa"/>
            <w:shd w:val="clear" w:color="000000" w:fill="B4C6E7"/>
            <w:vAlign w:val="center"/>
            <w:hideMark/>
          </w:tcPr>
          <w:p w14:paraId="1A3250E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Monto certificado Ley I+D ($MM</w:t>
            </w:r>
            <w:r>
              <w:rPr>
                <w:rFonts w:ascii="Times New Roman" w:eastAsia="Times New Roman" w:hAnsi="Times New Roman" w:cs="Times New Roman"/>
                <w:color w:val="000000"/>
                <w:sz w:val="18"/>
                <w:szCs w:val="18"/>
                <w:lang w:eastAsia="es-ES"/>
              </w:rPr>
              <w:t xml:space="preserve"> de cada año</w:t>
            </w:r>
            <w:r w:rsidRPr="00EF28FD">
              <w:rPr>
                <w:rFonts w:ascii="Times New Roman" w:eastAsia="Times New Roman" w:hAnsi="Times New Roman" w:cs="Times New Roman"/>
                <w:color w:val="000000"/>
                <w:sz w:val="18"/>
                <w:szCs w:val="18"/>
                <w:lang w:eastAsia="es-ES"/>
              </w:rPr>
              <w:t>)</w:t>
            </w:r>
          </w:p>
        </w:tc>
        <w:tc>
          <w:tcPr>
            <w:tcW w:w="1582" w:type="dxa"/>
            <w:shd w:val="clear" w:color="000000" w:fill="B4C6E7"/>
            <w:vAlign w:val="center"/>
            <w:hideMark/>
          </w:tcPr>
          <w:p w14:paraId="17568656"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Beneficio tributario ejecutado ($MM</w:t>
            </w:r>
            <w:r>
              <w:rPr>
                <w:rFonts w:ascii="Times New Roman" w:eastAsia="Times New Roman" w:hAnsi="Times New Roman" w:cs="Times New Roman"/>
                <w:color w:val="000000"/>
                <w:sz w:val="18"/>
                <w:szCs w:val="18"/>
                <w:lang w:eastAsia="es-ES"/>
              </w:rPr>
              <w:t xml:space="preserve"> de cada año</w:t>
            </w:r>
            <w:r w:rsidRPr="00EF28FD">
              <w:rPr>
                <w:rFonts w:ascii="Times New Roman" w:eastAsia="Times New Roman" w:hAnsi="Times New Roman" w:cs="Times New Roman"/>
                <w:color w:val="000000"/>
                <w:sz w:val="18"/>
                <w:szCs w:val="18"/>
                <w:lang w:eastAsia="es-ES"/>
              </w:rPr>
              <w:t>)</w:t>
            </w:r>
          </w:p>
        </w:tc>
        <w:tc>
          <w:tcPr>
            <w:tcW w:w="1241" w:type="dxa"/>
            <w:shd w:val="clear" w:color="000000" w:fill="B4C6E7"/>
            <w:vAlign w:val="center"/>
            <w:hideMark/>
          </w:tcPr>
          <w:p w14:paraId="6D6C519A"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Gasto en I+D en Chile ($MM</w:t>
            </w:r>
            <w:r>
              <w:rPr>
                <w:rFonts w:ascii="Times New Roman" w:eastAsia="Times New Roman" w:hAnsi="Times New Roman" w:cs="Times New Roman"/>
                <w:color w:val="000000"/>
                <w:sz w:val="18"/>
                <w:szCs w:val="18"/>
                <w:lang w:eastAsia="es-ES"/>
              </w:rPr>
              <w:t xml:space="preserve"> de cada año</w:t>
            </w:r>
            <w:r w:rsidRPr="00EF28FD">
              <w:rPr>
                <w:rFonts w:ascii="Times New Roman" w:eastAsia="Times New Roman" w:hAnsi="Times New Roman" w:cs="Times New Roman"/>
                <w:color w:val="000000"/>
                <w:sz w:val="18"/>
                <w:szCs w:val="18"/>
                <w:lang w:eastAsia="es-ES"/>
              </w:rPr>
              <w:t>)</w:t>
            </w:r>
          </w:p>
        </w:tc>
        <w:tc>
          <w:tcPr>
            <w:tcW w:w="1502" w:type="dxa"/>
            <w:shd w:val="clear" w:color="000000" w:fill="B4C6E7"/>
            <w:vAlign w:val="center"/>
            <w:hideMark/>
          </w:tcPr>
          <w:p w14:paraId="6F838245"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Gasto privado en I+D en Chile ($MM</w:t>
            </w:r>
            <w:r>
              <w:rPr>
                <w:rFonts w:ascii="Times New Roman" w:eastAsia="Times New Roman" w:hAnsi="Times New Roman" w:cs="Times New Roman"/>
                <w:color w:val="000000"/>
                <w:sz w:val="18"/>
                <w:szCs w:val="18"/>
                <w:lang w:eastAsia="es-ES"/>
              </w:rPr>
              <w:t xml:space="preserve"> de cada año</w:t>
            </w:r>
            <w:r w:rsidRPr="00EF28FD">
              <w:rPr>
                <w:rFonts w:ascii="Times New Roman" w:eastAsia="Times New Roman" w:hAnsi="Times New Roman" w:cs="Times New Roman"/>
                <w:color w:val="000000"/>
                <w:sz w:val="18"/>
                <w:szCs w:val="18"/>
                <w:lang w:eastAsia="es-ES"/>
              </w:rPr>
              <w:t>)</w:t>
            </w:r>
          </w:p>
        </w:tc>
        <w:tc>
          <w:tcPr>
            <w:tcW w:w="1962" w:type="dxa"/>
            <w:shd w:val="clear" w:color="000000" w:fill="B4C6E7"/>
            <w:vAlign w:val="center"/>
            <w:hideMark/>
          </w:tcPr>
          <w:p w14:paraId="23297EB0"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 xml:space="preserve">Porcentaje monto certificado  de I+D ejecutada </w:t>
            </w:r>
          </w:p>
        </w:tc>
        <w:tc>
          <w:tcPr>
            <w:tcW w:w="2143" w:type="dxa"/>
            <w:shd w:val="clear" w:color="000000" w:fill="B4C6E7"/>
            <w:vAlign w:val="center"/>
            <w:hideMark/>
          </w:tcPr>
          <w:p w14:paraId="09EDF5E4"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Porcentaje beneficio ejecutado sobre el total de I+D ejecutada en Chile</w:t>
            </w:r>
          </w:p>
        </w:tc>
      </w:tr>
      <w:tr w:rsidR="006D32D8" w:rsidRPr="00EF28FD" w14:paraId="7BA9F216" w14:textId="77777777" w:rsidTr="00154C3F">
        <w:trPr>
          <w:trHeight w:val="371"/>
          <w:jc w:val="center"/>
        </w:trPr>
        <w:tc>
          <w:tcPr>
            <w:tcW w:w="546" w:type="dxa"/>
            <w:shd w:val="clear" w:color="auto" w:fill="auto"/>
            <w:noWrap/>
            <w:vAlign w:val="center"/>
            <w:hideMark/>
          </w:tcPr>
          <w:p w14:paraId="33B2B18E"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2008</w:t>
            </w:r>
          </w:p>
        </w:tc>
        <w:tc>
          <w:tcPr>
            <w:tcW w:w="1301" w:type="dxa"/>
            <w:shd w:val="clear" w:color="auto" w:fill="auto"/>
            <w:noWrap/>
            <w:vAlign w:val="bottom"/>
            <w:hideMark/>
          </w:tcPr>
          <w:p w14:paraId="695257B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72</w:t>
            </w:r>
          </w:p>
        </w:tc>
        <w:tc>
          <w:tcPr>
            <w:tcW w:w="1582" w:type="dxa"/>
            <w:shd w:val="clear" w:color="auto" w:fill="auto"/>
            <w:noWrap/>
            <w:vAlign w:val="center"/>
            <w:hideMark/>
          </w:tcPr>
          <w:p w14:paraId="16FC2475"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241" w:type="dxa"/>
            <w:shd w:val="clear" w:color="auto" w:fill="auto"/>
            <w:noWrap/>
            <w:vAlign w:val="bottom"/>
            <w:hideMark/>
          </w:tcPr>
          <w:p w14:paraId="620F6495"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351,923</w:t>
            </w:r>
          </w:p>
        </w:tc>
        <w:tc>
          <w:tcPr>
            <w:tcW w:w="1502" w:type="dxa"/>
            <w:shd w:val="clear" w:color="auto" w:fill="auto"/>
            <w:noWrap/>
            <w:vAlign w:val="center"/>
            <w:hideMark/>
          </w:tcPr>
          <w:p w14:paraId="03929E4B"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142,247</w:t>
            </w:r>
          </w:p>
        </w:tc>
        <w:tc>
          <w:tcPr>
            <w:tcW w:w="1962" w:type="dxa"/>
            <w:shd w:val="clear" w:color="auto" w:fill="auto"/>
            <w:noWrap/>
            <w:vAlign w:val="center"/>
            <w:hideMark/>
          </w:tcPr>
          <w:p w14:paraId="2ACF67E2"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0%</w:t>
            </w:r>
          </w:p>
        </w:tc>
        <w:tc>
          <w:tcPr>
            <w:tcW w:w="2143" w:type="dxa"/>
            <w:shd w:val="clear" w:color="auto" w:fill="auto"/>
            <w:noWrap/>
            <w:vAlign w:val="center"/>
            <w:hideMark/>
          </w:tcPr>
          <w:p w14:paraId="71D10B43"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r>
      <w:tr w:rsidR="006D32D8" w:rsidRPr="00EF28FD" w14:paraId="273BDEDD" w14:textId="77777777" w:rsidTr="00154C3F">
        <w:trPr>
          <w:trHeight w:val="371"/>
          <w:jc w:val="center"/>
        </w:trPr>
        <w:tc>
          <w:tcPr>
            <w:tcW w:w="546" w:type="dxa"/>
            <w:shd w:val="clear" w:color="auto" w:fill="auto"/>
            <w:noWrap/>
            <w:vAlign w:val="center"/>
            <w:hideMark/>
          </w:tcPr>
          <w:p w14:paraId="41B933C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2009</w:t>
            </w:r>
          </w:p>
        </w:tc>
        <w:tc>
          <w:tcPr>
            <w:tcW w:w="1301" w:type="dxa"/>
            <w:shd w:val="clear" w:color="auto" w:fill="auto"/>
            <w:noWrap/>
            <w:vAlign w:val="bottom"/>
            <w:hideMark/>
          </w:tcPr>
          <w:p w14:paraId="7904F20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582</w:t>
            </w:r>
          </w:p>
        </w:tc>
        <w:tc>
          <w:tcPr>
            <w:tcW w:w="1582" w:type="dxa"/>
            <w:shd w:val="clear" w:color="auto" w:fill="auto"/>
            <w:noWrap/>
            <w:vAlign w:val="center"/>
            <w:hideMark/>
          </w:tcPr>
          <w:p w14:paraId="4DC6A780"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241" w:type="dxa"/>
            <w:shd w:val="clear" w:color="auto" w:fill="auto"/>
            <w:noWrap/>
            <w:vAlign w:val="bottom"/>
            <w:hideMark/>
          </w:tcPr>
          <w:p w14:paraId="5914BE21"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340,357</w:t>
            </w:r>
          </w:p>
        </w:tc>
        <w:tc>
          <w:tcPr>
            <w:tcW w:w="1502" w:type="dxa"/>
            <w:shd w:val="clear" w:color="auto" w:fill="auto"/>
            <w:noWrap/>
            <w:vAlign w:val="center"/>
            <w:hideMark/>
          </w:tcPr>
          <w:p w14:paraId="0BCECFA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99,802</w:t>
            </w:r>
          </w:p>
        </w:tc>
        <w:tc>
          <w:tcPr>
            <w:tcW w:w="1962" w:type="dxa"/>
            <w:shd w:val="clear" w:color="auto" w:fill="auto"/>
            <w:noWrap/>
            <w:vAlign w:val="center"/>
            <w:hideMark/>
          </w:tcPr>
          <w:p w14:paraId="18012771"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w:t>
            </w:r>
          </w:p>
        </w:tc>
        <w:tc>
          <w:tcPr>
            <w:tcW w:w="2143" w:type="dxa"/>
            <w:shd w:val="clear" w:color="auto" w:fill="auto"/>
            <w:noWrap/>
            <w:vAlign w:val="center"/>
            <w:hideMark/>
          </w:tcPr>
          <w:p w14:paraId="7F52D17F"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r>
      <w:tr w:rsidR="006D32D8" w:rsidRPr="00EF28FD" w14:paraId="4AD3B13B" w14:textId="77777777" w:rsidTr="00154C3F">
        <w:trPr>
          <w:trHeight w:val="371"/>
          <w:jc w:val="center"/>
        </w:trPr>
        <w:tc>
          <w:tcPr>
            <w:tcW w:w="546" w:type="dxa"/>
            <w:shd w:val="clear" w:color="auto" w:fill="auto"/>
            <w:noWrap/>
            <w:vAlign w:val="center"/>
            <w:hideMark/>
          </w:tcPr>
          <w:p w14:paraId="3EE18326"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2010</w:t>
            </w:r>
          </w:p>
        </w:tc>
        <w:tc>
          <w:tcPr>
            <w:tcW w:w="1301" w:type="dxa"/>
            <w:shd w:val="clear" w:color="auto" w:fill="auto"/>
            <w:noWrap/>
            <w:vAlign w:val="bottom"/>
            <w:hideMark/>
          </w:tcPr>
          <w:p w14:paraId="6C7131DA"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1,919</w:t>
            </w:r>
          </w:p>
        </w:tc>
        <w:tc>
          <w:tcPr>
            <w:tcW w:w="1582" w:type="dxa"/>
            <w:shd w:val="clear" w:color="auto" w:fill="auto"/>
            <w:noWrap/>
            <w:vAlign w:val="center"/>
            <w:hideMark/>
          </w:tcPr>
          <w:p w14:paraId="4D926B5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241" w:type="dxa"/>
            <w:shd w:val="clear" w:color="auto" w:fill="auto"/>
            <w:noWrap/>
            <w:vAlign w:val="bottom"/>
            <w:hideMark/>
          </w:tcPr>
          <w:p w14:paraId="052D894F"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367,393</w:t>
            </w:r>
          </w:p>
        </w:tc>
        <w:tc>
          <w:tcPr>
            <w:tcW w:w="1502" w:type="dxa"/>
            <w:shd w:val="clear" w:color="auto" w:fill="auto"/>
            <w:noWrap/>
            <w:vAlign w:val="center"/>
            <w:hideMark/>
          </w:tcPr>
          <w:p w14:paraId="3EF949DB"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108,822</w:t>
            </w:r>
          </w:p>
        </w:tc>
        <w:tc>
          <w:tcPr>
            <w:tcW w:w="1962" w:type="dxa"/>
            <w:shd w:val="clear" w:color="auto" w:fill="auto"/>
            <w:noWrap/>
            <w:vAlign w:val="center"/>
            <w:hideMark/>
          </w:tcPr>
          <w:p w14:paraId="7C932C33"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w:t>
            </w:r>
          </w:p>
        </w:tc>
        <w:tc>
          <w:tcPr>
            <w:tcW w:w="2143" w:type="dxa"/>
            <w:shd w:val="clear" w:color="auto" w:fill="auto"/>
            <w:noWrap/>
            <w:vAlign w:val="center"/>
            <w:hideMark/>
          </w:tcPr>
          <w:p w14:paraId="351391F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r>
      <w:tr w:rsidR="006D32D8" w:rsidRPr="00EF28FD" w14:paraId="4C8E1DB5" w14:textId="77777777" w:rsidTr="00154C3F">
        <w:trPr>
          <w:trHeight w:val="371"/>
          <w:jc w:val="center"/>
        </w:trPr>
        <w:tc>
          <w:tcPr>
            <w:tcW w:w="546" w:type="dxa"/>
            <w:shd w:val="clear" w:color="auto" w:fill="auto"/>
            <w:noWrap/>
            <w:vAlign w:val="center"/>
            <w:hideMark/>
          </w:tcPr>
          <w:p w14:paraId="364311FB"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2011</w:t>
            </w:r>
          </w:p>
        </w:tc>
        <w:tc>
          <w:tcPr>
            <w:tcW w:w="1301" w:type="dxa"/>
            <w:shd w:val="clear" w:color="auto" w:fill="auto"/>
            <w:noWrap/>
            <w:vAlign w:val="bottom"/>
            <w:hideMark/>
          </w:tcPr>
          <w:p w14:paraId="46159317"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3,386</w:t>
            </w:r>
          </w:p>
        </w:tc>
        <w:tc>
          <w:tcPr>
            <w:tcW w:w="1582" w:type="dxa"/>
            <w:shd w:val="clear" w:color="auto" w:fill="auto"/>
            <w:noWrap/>
            <w:vAlign w:val="center"/>
            <w:hideMark/>
          </w:tcPr>
          <w:p w14:paraId="44B8A914"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241" w:type="dxa"/>
            <w:shd w:val="clear" w:color="auto" w:fill="auto"/>
            <w:noWrap/>
            <w:vAlign w:val="bottom"/>
            <w:hideMark/>
          </w:tcPr>
          <w:p w14:paraId="7B3B484B"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428,781</w:t>
            </w:r>
          </w:p>
        </w:tc>
        <w:tc>
          <w:tcPr>
            <w:tcW w:w="1502" w:type="dxa"/>
            <w:shd w:val="clear" w:color="auto" w:fill="auto"/>
            <w:noWrap/>
            <w:vAlign w:val="center"/>
            <w:hideMark/>
          </w:tcPr>
          <w:p w14:paraId="2C5151E5"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145,976</w:t>
            </w:r>
          </w:p>
        </w:tc>
        <w:tc>
          <w:tcPr>
            <w:tcW w:w="1962" w:type="dxa"/>
            <w:shd w:val="clear" w:color="auto" w:fill="auto"/>
            <w:noWrap/>
            <w:vAlign w:val="center"/>
            <w:hideMark/>
          </w:tcPr>
          <w:p w14:paraId="46BF805A"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w:t>
            </w:r>
          </w:p>
        </w:tc>
        <w:tc>
          <w:tcPr>
            <w:tcW w:w="2143" w:type="dxa"/>
            <w:shd w:val="clear" w:color="auto" w:fill="auto"/>
            <w:noWrap/>
            <w:vAlign w:val="center"/>
            <w:hideMark/>
          </w:tcPr>
          <w:p w14:paraId="3BABE572"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r>
      <w:tr w:rsidR="006D32D8" w:rsidRPr="00EF28FD" w14:paraId="4ACE6633" w14:textId="77777777" w:rsidTr="00154C3F">
        <w:trPr>
          <w:trHeight w:val="371"/>
          <w:jc w:val="center"/>
        </w:trPr>
        <w:tc>
          <w:tcPr>
            <w:tcW w:w="546" w:type="dxa"/>
            <w:shd w:val="clear" w:color="auto" w:fill="auto"/>
            <w:noWrap/>
            <w:vAlign w:val="center"/>
            <w:hideMark/>
          </w:tcPr>
          <w:p w14:paraId="031673B0"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2012</w:t>
            </w:r>
          </w:p>
        </w:tc>
        <w:tc>
          <w:tcPr>
            <w:tcW w:w="1301" w:type="dxa"/>
            <w:shd w:val="clear" w:color="auto" w:fill="auto"/>
            <w:noWrap/>
            <w:vAlign w:val="bottom"/>
            <w:hideMark/>
          </w:tcPr>
          <w:p w14:paraId="0F60CCA1"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6,036</w:t>
            </w:r>
          </w:p>
        </w:tc>
        <w:tc>
          <w:tcPr>
            <w:tcW w:w="1582" w:type="dxa"/>
            <w:shd w:val="clear" w:color="auto" w:fill="auto"/>
            <w:noWrap/>
            <w:vAlign w:val="bottom"/>
            <w:hideMark/>
          </w:tcPr>
          <w:p w14:paraId="0F96FDFB"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493</w:t>
            </w:r>
          </w:p>
        </w:tc>
        <w:tc>
          <w:tcPr>
            <w:tcW w:w="1241" w:type="dxa"/>
            <w:shd w:val="clear" w:color="auto" w:fill="auto"/>
            <w:noWrap/>
            <w:vAlign w:val="bottom"/>
            <w:hideMark/>
          </w:tcPr>
          <w:p w14:paraId="2E9A4739"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467,302</w:t>
            </w:r>
          </w:p>
        </w:tc>
        <w:tc>
          <w:tcPr>
            <w:tcW w:w="1502" w:type="dxa"/>
            <w:shd w:val="clear" w:color="auto" w:fill="auto"/>
            <w:noWrap/>
            <w:vAlign w:val="center"/>
            <w:hideMark/>
          </w:tcPr>
          <w:p w14:paraId="6FAB22A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162,046</w:t>
            </w:r>
          </w:p>
        </w:tc>
        <w:tc>
          <w:tcPr>
            <w:tcW w:w="1962" w:type="dxa"/>
            <w:shd w:val="clear" w:color="auto" w:fill="auto"/>
            <w:noWrap/>
            <w:vAlign w:val="center"/>
            <w:hideMark/>
          </w:tcPr>
          <w:p w14:paraId="135D75C7"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4%</w:t>
            </w:r>
          </w:p>
        </w:tc>
        <w:tc>
          <w:tcPr>
            <w:tcW w:w="2143" w:type="dxa"/>
            <w:shd w:val="clear" w:color="auto" w:fill="auto"/>
            <w:noWrap/>
            <w:vAlign w:val="center"/>
            <w:hideMark/>
          </w:tcPr>
          <w:p w14:paraId="037C18C1"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0%</w:t>
            </w:r>
          </w:p>
        </w:tc>
      </w:tr>
      <w:tr w:rsidR="006D32D8" w:rsidRPr="00EF28FD" w14:paraId="5EF94CF7" w14:textId="77777777" w:rsidTr="00154C3F">
        <w:trPr>
          <w:trHeight w:val="371"/>
          <w:jc w:val="center"/>
        </w:trPr>
        <w:tc>
          <w:tcPr>
            <w:tcW w:w="546" w:type="dxa"/>
            <w:shd w:val="clear" w:color="auto" w:fill="auto"/>
            <w:noWrap/>
            <w:vAlign w:val="center"/>
            <w:hideMark/>
          </w:tcPr>
          <w:p w14:paraId="6B33944E"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2013</w:t>
            </w:r>
          </w:p>
        </w:tc>
        <w:tc>
          <w:tcPr>
            <w:tcW w:w="1301" w:type="dxa"/>
            <w:shd w:val="clear" w:color="auto" w:fill="auto"/>
            <w:noWrap/>
            <w:vAlign w:val="bottom"/>
            <w:hideMark/>
          </w:tcPr>
          <w:p w14:paraId="34CD761D"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18,508</w:t>
            </w:r>
          </w:p>
        </w:tc>
        <w:tc>
          <w:tcPr>
            <w:tcW w:w="1582" w:type="dxa"/>
            <w:shd w:val="clear" w:color="auto" w:fill="auto"/>
            <w:noWrap/>
            <w:vAlign w:val="bottom"/>
            <w:hideMark/>
          </w:tcPr>
          <w:p w14:paraId="49390117"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2,701</w:t>
            </w:r>
          </w:p>
        </w:tc>
        <w:tc>
          <w:tcPr>
            <w:tcW w:w="1241" w:type="dxa"/>
            <w:shd w:val="clear" w:color="auto" w:fill="auto"/>
            <w:noWrap/>
            <w:vAlign w:val="bottom"/>
            <w:hideMark/>
          </w:tcPr>
          <w:p w14:paraId="2AEB9EEE"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535,924</w:t>
            </w:r>
          </w:p>
        </w:tc>
        <w:tc>
          <w:tcPr>
            <w:tcW w:w="1502" w:type="dxa"/>
            <w:shd w:val="clear" w:color="auto" w:fill="auto"/>
            <w:noWrap/>
            <w:vAlign w:val="center"/>
            <w:hideMark/>
          </w:tcPr>
          <w:p w14:paraId="2C3CE68E"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187,575</w:t>
            </w:r>
          </w:p>
        </w:tc>
        <w:tc>
          <w:tcPr>
            <w:tcW w:w="1962" w:type="dxa"/>
            <w:shd w:val="clear" w:color="auto" w:fill="auto"/>
            <w:noWrap/>
            <w:vAlign w:val="center"/>
            <w:hideMark/>
          </w:tcPr>
          <w:p w14:paraId="3765A41D"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10%</w:t>
            </w:r>
          </w:p>
        </w:tc>
        <w:tc>
          <w:tcPr>
            <w:tcW w:w="2143" w:type="dxa"/>
            <w:shd w:val="clear" w:color="auto" w:fill="auto"/>
            <w:noWrap/>
            <w:vAlign w:val="center"/>
            <w:hideMark/>
          </w:tcPr>
          <w:p w14:paraId="5155ADC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w:t>
            </w:r>
          </w:p>
        </w:tc>
      </w:tr>
      <w:tr w:rsidR="006D32D8" w:rsidRPr="00EF28FD" w14:paraId="0F4B359F" w14:textId="77777777" w:rsidTr="00154C3F">
        <w:trPr>
          <w:trHeight w:val="371"/>
          <w:jc w:val="center"/>
        </w:trPr>
        <w:tc>
          <w:tcPr>
            <w:tcW w:w="546" w:type="dxa"/>
            <w:shd w:val="clear" w:color="auto" w:fill="auto"/>
            <w:noWrap/>
            <w:vAlign w:val="center"/>
            <w:hideMark/>
          </w:tcPr>
          <w:p w14:paraId="1D0A821D"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2014</w:t>
            </w:r>
          </w:p>
        </w:tc>
        <w:tc>
          <w:tcPr>
            <w:tcW w:w="1301" w:type="dxa"/>
            <w:shd w:val="clear" w:color="auto" w:fill="auto"/>
            <w:noWrap/>
            <w:vAlign w:val="bottom"/>
            <w:hideMark/>
          </w:tcPr>
          <w:p w14:paraId="372E58F8"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33,281</w:t>
            </w:r>
          </w:p>
        </w:tc>
        <w:tc>
          <w:tcPr>
            <w:tcW w:w="1582" w:type="dxa"/>
            <w:shd w:val="clear" w:color="auto" w:fill="auto"/>
            <w:noWrap/>
            <w:vAlign w:val="bottom"/>
            <w:hideMark/>
          </w:tcPr>
          <w:p w14:paraId="0817F20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9,754</w:t>
            </w:r>
          </w:p>
        </w:tc>
        <w:tc>
          <w:tcPr>
            <w:tcW w:w="1241" w:type="dxa"/>
            <w:shd w:val="clear" w:color="auto" w:fill="auto"/>
            <w:noWrap/>
            <w:vAlign w:val="bottom"/>
            <w:hideMark/>
          </w:tcPr>
          <w:p w14:paraId="19AD6292"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558,240</w:t>
            </w:r>
          </w:p>
        </w:tc>
        <w:tc>
          <w:tcPr>
            <w:tcW w:w="1502" w:type="dxa"/>
            <w:shd w:val="clear" w:color="auto" w:fill="auto"/>
            <w:noWrap/>
            <w:vAlign w:val="center"/>
            <w:hideMark/>
          </w:tcPr>
          <w:p w14:paraId="2BAB34F6"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186,945</w:t>
            </w:r>
          </w:p>
        </w:tc>
        <w:tc>
          <w:tcPr>
            <w:tcW w:w="1962" w:type="dxa"/>
            <w:shd w:val="clear" w:color="auto" w:fill="auto"/>
            <w:noWrap/>
            <w:vAlign w:val="center"/>
            <w:hideMark/>
          </w:tcPr>
          <w:p w14:paraId="621B8480"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18%</w:t>
            </w:r>
          </w:p>
        </w:tc>
        <w:tc>
          <w:tcPr>
            <w:tcW w:w="2143" w:type="dxa"/>
            <w:shd w:val="clear" w:color="auto" w:fill="auto"/>
            <w:noWrap/>
            <w:vAlign w:val="center"/>
            <w:hideMark/>
          </w:tcPr>
          <w:p w14:paraId="54B7191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5%</w:t>
            </w:r>
          </w:p>
        </w:tc>
      </w:tr>
      <w:tr w:rsidR="006D32D8" w:rsidRPr="00EF28FD" w14:paraId="799BC114" w14:textId="77777777" w:rsidTr="00154C3F">
        <w:trPr>
          <w:trHeight w:val="371"/>
          <w:jc w:val="center"/>
        </w:trPr>
        <w:tc>
          <w:tcPr>
            <w:tcW w:w="546" w:type="dxa"/>
            <w:shd w:val="clear" w:color="auto" w:fill="auto"/>
            <w:noWrap/>
            <w:vAlign w:val="center"/>
            <w:hideMark/>
          </w:tcPr>
          <w:p w14:paraId="5354BE32"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2015</w:t>
            </w:r>
          </w:p>
        </w:tc>
        <w:tc>
          <w:tcPr>
            <w:tcW w:w="1301" w:type="dxa"/>
            <w:shd w:val="clear" w:color="auto" w:fill="auto"/>
            <w:noWrap/>
            <w:vAlign w:val="bottom"/>
            <w:hideMark/>
          </w:tcPr>
          <w:p w14:paraId="75116F29"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51,146</w:t>
            </w:r>
          </w:p>
        </w:tc>
        <w:tc>
          <w:tcPr>
            <w:tcW w:w="1582" w:type="dxa"/>
            <w:shd w:val="clear" w:color="auto" w:fill="auto"/>
            <w:noWrap/>
            <w:vAlign w:val="bottom"/>
            <w:hideMark/>
          </w:tcPr>
          <w:p w14:paraId="38E2606C"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8,550</w:t>
            </w:r>
          </w:p>
        </w:tc>
        <w:tc>
          <w:tcPr>
            <w:tcW w:w="1241" w:type="dxa"/>
            <w:shd w:val="clear" w:color="auto" w:fill="auto"/>
            <w:noWrap/>
            <w:vAlign w:val="center"/>
            <w:hideMark/>
          </w:tcPr>
          <w:p w14:paraId="5F99D1B2"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502" w:type="dxa"/>
            <w:shd w:val="clear" w:color="auto" w:fill="auto"/>
            <w:noWrap/>
            <w:vAlign w:val="center"/>
            <w:hideMark/>
          </w:tcPr>
          <w:p w14:paraId="2B0E77ED"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1962" w:type="dxa"/>
            <w:shd w:val="clear" w:color="auto" w:fill="auto"/>
            <w:noWrap/>
            <w:vAlign w:val="center"/>
            <w:hideMark/>
          </w:tcPr>
          <w:p w14:paraId="651B85E7"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c>
          <w:tcPr>
            <w:tcW w:w="2143" w:type="dxa"/>
            <w:shd w:val="clear" w:color="auto" w:fill="auto"/>
            <w:noWrap/>
            <w:vAlign w:val="center"/>
            <w:hideMark/>
          </w:tcPr>
          <w:p w14:paraId="6BECE1B5" w14:textId="77777777" w:rsidR="006D32D8" w:rsidRPr="00EF28FD" w:rsidRDefault="006D32D8" w:rsidP="00154C3F">
            <w:pPr>
              <w:spacing w:after="0" w:line="240" w:lineRule="auto"/>
              <w:jc w:val="center"/>
              <w:rPr>
                <w:rFonts w:ascii="Times New Roman" w:eastAsia="Times New Roman" w:hAnsi="Times New Roman" w:cs="Times New Roman"/>
                <w:color w:val="000000"/>
                <w:sz w:val="18"/>
                <w:szCs w:val="18"/>
                <w:lang w:eastAsia="es-ES"/>
              </w:rPr>
            </w:pPr>
            <w:r w:rsidRPr="00EF28FD">
              <w:rPr>
                <w:rFonts w:ascii="Times New Roman" w:eastAsia="Times New Roman" w:hAnsi="Times New Roman" w:cs="Times New Roman"/>
                <w:color w:val="000000"/>
                <w:sz w:val="18"/>
                <w:szCs w:val="18"/>
                <w:lang w:eastAsia="es-ES"/>
              </w:rPr>
              <w:t>n/d</w:t>
            </w:r>
          </w:p>
        </w:tc>
      </w:tr>
    </w:tbl>
    <w:p w14:paraId="382BB2B8" w14:textId="1297ACC8" w:rsidR="006D32D8" w:rsidRPr="006A0175" w:rsidRDefault="006D32D8" w:rsidP="006D32D8">
      <w:pPr>
        <w:pStyle w:val="Sinespaciado"/>
        <w:rPr>
          <w:rFonts w:ascii="Times New Roman" w:hAnsi="Times New Roman"/>
          <w:sz w:val="24"/>
          <w:szCs w:val="24"/>
        </w:rPr>
      </w:pPr>
    </w:p>
    <w:p w14:paraId="7F740A8A" w14:textId="77777777" w:rsidR="006D32D8" w:rsidRPr="000474A9" w:rsidRDefault="006D32D8" w:rsidP="006D32D8">
      <w:pPr>
        <w:pStyle w:val="Sinespaciado"/>
        <w:jc w:val="both"/>
        <w:rPr>
          <w:rFonts w:ascii="Times New Roman" w:hAnsi="Times New Roman"/>
          <w:sz w:val="20"/>
          <w:szCs w:val="20"/>
        </w:rPr>
      </w:pPr>
      <w:r w:rsidRPr="000474A9">
        <w:rPr>
          <w:rFonts w:ascii="Times New Roman" w:hAnsi="Times New Roman"/>
          <w:sz w:val="20"/>
          <w:szCs w:val="20"/>
        </w:rPr>
        <w:t xml:space="preserve">Fuente: </w:t>
      </w:r>
      <w:r>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r>
        <w:rPr>
          <w:rFonts w:ascii="Times New Roman" w:hAnsi="Times New Roman"/>
          <w:sz w:val="20"/>
          <w:szCs w:val="20"/>
        </w:rPr>
        <w:t xml:space="preserve"> n/d: Dato no disponible</w:t>
      </w:r>
    </w:p>
    <w:p w14:paraId="07658C26" w14:textId="67FB2BCC" w:rsidR="00210237" w:rsidRDefault="00210237" w:rsidP="002E2342">
      <w:pPr>
        <w:pStyle w:val="Sinespaciado"/>
        <w:jc w:val="both"/>
        <w:rPr>
          <w:rFonts w:ascii="Times New Roman" w:hAnsi="Times New Roman"/>
          <w:color w:val="231F20"/>
          <w:sz w:val="24"/>
          <w:szCs w:val="24"/>
        </w:rPr>
      </w:pPr>
    </w:p>
    <w:p w14:paraId="70742950" w14:textId="799CC5CD" w:rsidR="006D32D8" w:rsidRDefault="00210237" w:rsidP="006D32D8">
      <w:pPr>
        <w:pStyle w:val="Sinespaciado"/>
        <w:jc w:val="both"/>
        <w:rPr>
          <w:rFonts w:ascii="Times New Roman" w:hAnsi="Times New Roman"/>
          <w:color w:val="231F20"/>
          <w:sz w:val="24"/>
          <w:szCs w:val="24"/>
        </w:rPr>
      </w:pPr>
      <w:r>
        <w:rPr>
          <w:rFonts w:ascii="Times New Roman" w:hAnsi="Times New Roman"/>
          <w:color w:val="231F20"/>
          <w:sz w:val="24"/>
          <w:szCs w:val="24"/>
        </w:rPr>
        <w:t xml:space="preserve">Si bien </w:t>
      </w:r>
      <w:r w:rsidR="00EE5DEF">
        <w:rPr>
          <w:rFonts w:ascii="Times New Roman" w:hAnsi="Times New Roman"/>
          <w:color w:val="231F20"/>
          <w:sz w:val="24"/>
          <w:szCs w:val="24"/>
        </w:rPr>
        <w:t>los montos certificados por la l</w:t>
      </w:r>
      <w:r>
        <w:rPr>
          <w:rFonts w:ascii="Times New Roman" w:hAnsi="Times New Roman"/>
          <w:color w:val="231F20"/>
          <w:sz w:val="24"/>
          <w:szCs w:val="24"/>
        </w:rPr>
        <w:t>ey h</w:t>
      </w:r>
      <w:r w:rsidR="006D32D8">
        <w:rPr>
          <w:rFonts w:ascii="Times New Roman" w:hAnsi="Times New Roman"/>
          <w:color w:val="231F20"/>
          <w:sz w:val="24"/>
          <w:szCs w:val="24"/>
        </w:rPr>
        <w:t>an crecido de forma exponencial des</w:t>
      </w:r>
      <w:r w:rsidR="00EE5DEF">
        <w:rPr>
          <w:rFonts w:ascii="Times New Roman" w:hAnsi="Times New Roman"/>
          <w:color w:val="231F20"/>
          <w:sz w:val="24"/>
          <w:szCs w:val="24"/>
        </w:rPr>
        <w:t>de la entrada en vigencia de la modificación de la l</w:t>
      </w:r>
      <w:r w:rsidR="00550CB7">
        <w:rPr>
          <w:rFonts w:ascii="Times New Roman" w:hAnsi="Times New Roman"/>
          <w:color w:val="231F20"/>
          <w:sz w:val="24"/>
          <w:szCs w:val="24"/>
        </w:rPr>
        <w:t>ey en 2012 (ver Gráfico 2</w:t>
      </w:r>
      <w:r w:rsidR="00EE5DEF">
        <w:rPr>
          <w:rFonts w:ascii="Times New Roman" w:hAnsi="Times New Roman"/>
          <w:color w:val="231F20"/>
          <w:sz w:val="24"/>
          <w:szCs w:val="24"/>
        </w:rPr>
        <w:t>.5</w:t>
      </w:r>
      <w:r w:rsidR="006D32D8">
        <w:rPr>
          <w:rFonts w:ascii="Times New Roman" w:hAnsi="Times New Roman"/>
          <w:color w:val="231F20"/>
          <w:sz w:val="24"/>
          <w:szCs w:val="24"/>
        </w:rPr>
        <w:t>), los montos efectivamente ejecutados por las empresas, aunque con tendencia creciente en el ti</w:t>
      </w:r>
      <w:r w:rsidR="00EE5DEF">
        <w:rPr>
          <w:rFonts w:ascii="Times New Roman" w:hAnsi="Times New Roman"/>
          <w:color w:val="231F20"/>
          <w:sz w:val="24"/>
          <w:szCs w:val="24"/>
        </w:rPr>
        <w:t>empo, son en promedio solo un 18</w:t>
      </w:r>
      <w:r w:rsidR="006D32D8">
        <w:rPr>
          <w:rFonts w:ascii="Times New Roman" w:hAnsi="Times New Roman"/>
          <w:color w:val="231F20"/>
          <w:sz w:val="24"/>
          <w:szCs w:val="24"/>
        </w:rPr>
        <w:t xml:space="preserve">% de los montos certificados por las empresas. Una forma de interpretar este resultado, que si bien el sector privado muestra disposición a gastar en I+D, no los ejecuta, en definitiva. Una segunda manera de mirar las cifras es que las empresas están acumulando un </w:t>
      </w:r>
      <w:r w:rsidR="006D32D8" w:rsidRPr="006D32D8">
        <w:rPr>
          <w:rFonts w:ascii="Times New Roman" w:hAnsi="Times New Roman"/>
          <w:i/>
          <w:color w:val="231F20"/>
          <w:sz w:val="24"/>
          <w:szCs w:val="24"/>
        </w:rPr>
        <w:t>buffer</w:t>
      </w:r>
      <w:r w:rsidR="006D32D8">
        <w:rPr>
          <w:rFonts w:ascii="Times New Roman" w:hAnsi="Times New Roman"/>
          <w:color w:val="231F20"/>
          <w:sz w:val="24"/>
          <w:szCs w:val="24"/>
        </w:rPr>
        <w:t xml:space="preserve"> de gasto certificado en I+D para ejecutar en el futuro. </w:t>
      </w:r>
    </w:p>
    <w:p w14:paraId="6078A680" w14:textId="77777777" w:rsidR="006D32D8" w:rsidRPr="006D32D8" w:rsidRDefault="006D32D8" w:rsidP="006D32D8">
      <w:pPr>
        <w:pStyle w:val="Sinespaciado"/>
        <w:jc w:val="both"/>
        <w:rPr>
          <w:rFonts w:ascii="Times New Roman" w:hAnsi="Times New Roman"/>
          <w:color w:val="231F20"/>
          <w:sz w:val="24"/>
          <w:szCs w:val="24"/>
        </w:rPr>
      </w:pPr>
    </w:p>
    <w:p w14:paraId="14D326D5" w14:textId="370502FF" w:rsidR="006D32D8" w:rsidRPr="006A0175" w:rsidRDefault="006D32D8" w:rsidP="006D32D8">
      <w:pPr>
        <w:pStyle w:val="Sinespaciado"/>
        <w:jc w:val="center"/>
        <w:rPr>
          <w:rFonts w:ascii="Times New Roman" w:hAnsi="Times New Roman"/>
          <w:sz w:val="24"/>
          <w:szCs w:val="24"/>
          <w:u w:val="single"/>
        </w:rPr>
      </w:pPr>
      <w:r>
        <w:rPr>
          <w:rFonts w:ascii="Times New Roman" w:hAnsi="Times New Roman"/>
          <w:sz w:val="24"/>
          <w:szCs w:val="24"/>
          <w:u w:val="single"/>
        </w:rPr>
        <w:t>Gráfico</w:t>
      </w:r>
      <w:r w:rsidR="005C0F1F">
        <w:rPr>
          <w:rFonts w:ascii="Times New Roman" w:hAnsi="Times New Roman"/>
          <w:sz w:val="24"/>
          <w:szCs w:val="24"/>
          <w:u w:val="single"/>
        </w:rPr>
        <w:t xml:space="preserve"> 2</w:t>
      </w:r>
      <w:r w:rsidR="00EE5DEF">
        <w:rPr>
          <w:rFonts w:ascii="Times New Roman" w:hAnsi="Times New Roman"/>
          <w:sz w:val="24"/>
          <w:szCs w:val="24"/>
          <w:u w:val="single"/>
        </w:rPr>
        <w:t>.5</w:t>
      </w:r>
      <w:r w:rsidRPr="006A0175">
        <w:rPr>
          <w:rFonts w:ascii="Times New Roman" w:hAnsi="Times New Roman"/>
          <w:sz w:val="24"/>
          <w:szCs w:val="24"/>
          <w:u w:val="single"/>
        </w:rPr>
        <w:t xml:space="preserve">: </w:t>
      </w:r>
      <w:r>
        <w:rPr>
          <w:rFonts w:ascii="Times New Roman" w:hAnsi="Times New Roman"/>
          <w:sz w:val="24"/>
          <w:szCs w:val="24"/>
          <w:u w:val="single"/>
        </w:rPr>
        <w:t>Ley de</w:t>
      </w:r>
      <w:r w:rsidRPr="006A0175">
        <w:rPr>
          <w:rFonts w:ascii="Times New Roman" w:hAnsi="Times New Roman"/>
          <w:sz w:val="24"/>
          <w:szCs w:val="24"/>
          <w:u w:val="single"/>
        </w:rPr>
        <w:t xml:space="preserve"> I+D</w:t>
      </w:r>
      <w:r>
        <w:rPr>
          <w:rFonts w:ascii="Times New Roman" w:hAnsi="Times New Roman"/>
          <w:sz w:val="24"/>
          <w:szCs w:val="24"/>
          <w:u w:val="single"/>
        </w:rPr>
        <w:t>; montos</w:t>
      </w:r>
      <w:r w:rsidRPr="006A0175">
        <w:rPr>
          <w:rFonts w:ascii="Times New Roman" w:hAnsi="Times New Roman"/>
          <w:sz w:val="24"/>
          <w:szCs w:val="24"/>
          <w:u w:val="single"/>
        </w:rPr>
        <w:t xml:space="preserve"> certificados </w:t>
      </w:r>
      <w:r>
        <w:rPr>
          <w:rFonts w:ascii="Times New Roman" w:hAnsi="Times New Roman"/>
          <w:sz w:val="24"/>
          <w:szCs w:val="24"/>
          <w:u w:val="single"/>
        </w:rPr>
        <w:t xml:space="preserve">versus montos ejecutados </w:t>
      </w:r>
    </w:p>
    <w:p w14:paraId="3C9AAC5C" w14:textId="77777777" w:rsidR="00EF28FD" w:rsidRPr="006D32D8" w:rsidRDefault="00EF28FD" w:rsidP="006D32D8">
      <w:pPr>
        <w:rPr>
          <w:lang w:val="es-CL" w:eastAsia="es-CL"/>
        </w:rPr>
      </w:pPr>
    </w:p>
    <w:p w14:paraId="1AB371D4" w14:textId="42E6A8A8" w:rsidR="00EF28FD" w:rsidRDefault="00210237" w:rsidP="002E2342">
      <w:pPr>
        <w:pStyle w:val="Sinespaciado"/>
        <w:jc w:val="both"/>
        <w:rPr>
          <w:rFonts w:ascii="Times New Roman" w:hAnsi="Times New Roman"/>
          <w:color w:val="231F20"/>
          <w:sz w:val="24"/>
          <w:szCs w:val="24"/>
        </w:rPr>
      </w:pPr>
      <w:r>
        <w:rPr>
          <w:noProof/>
        </w:rPr>
        <w:lastRenderedPageBreak/>
        <w:drawing>
          <wp:inline distT="0" distB="0" distL="0" distR="0" wp14:anchorId="25E0FD7D" wp14:editId="3F14E655">
            <wp:extent cx="5467350" cy="28575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59A517" w14:textId="3541CB4A" w:rsidR="00EF28FD" w:rsidRDefault="006D32D8" w:rsidP="002E2342">
      <w:pPr>
        <w:pStyle w:val="Sinespaciado"/>
        <w:jc w:val="both"/>
        <w:rPr>
          <w:rFonts w:ascii="Times New Roman" w:hAnsi="Times New Roman"/>
          <w:sz w:val="20"/>
          <w:szCs w:val="20"/>
        </w:rPr>
      </w:pPr>
      <w:r w:rsidRPr="000474A9">
        <w:rPr>
          <w:rFonts w:ascii="Times New Roman" w:hAnsi="Times New Roman"/>
          <w:sz w:val="20"/>
          <w:szCs w:val="20"/>
        </w:rPr>
        <w:t xml:space="preserve">Fuente: </w:t>
      </w:r>
      <w:r>
        <w:rPr>
          <w:rFonts w:ascii="Times New Roman" w:hAnsi="Times New Roman"/>
          <w:sz w:val="20"/>
          <w:szCs w:val="20"/>
        </w:rPr>
        <w:t xml:space="preserve">Elaboración propia en base a datos de </w:t>
      </w:r>
      <w:r w:rsidRPr="000474A9">
        <w:rPr>
          <w:rFonts w:ascii="Times New Roman" w:hAnsi="Times New Roman"/>
          <w:sz w:val="20"/>
          <w:szCs w:val="20"/>
        </w:rPr>
        <w:t>CORFO, Gerencia INNOVA</w:t>
      </w:r>
    </w:p>
    <w:p w14:paraId="5CFE3EB9" w14:textId="77777777" w:rsidR="00031F33" w:rsidRPr="006A0175" w:rsidRDefault="00031F33" w:rsidP="002E2342">
      <w:pPr>
        <w:pStyle w:val="Sinespaciado"/>
        <w:jc w:val="both"/>
        <w:rPr>
          <w:rFonts w:ascii="Times New Roman" w:hAnsi="Times New Roman"/>
          <w:sz w:val="24"/>
          <w:szCs w:val="24"/>
        </w:rPr>
      </w:pPr>
    </w:p>
    <w:p w14:paraId="64FB1955" w14:textId="726C7D79" w:rsidR="006D32D8" w:rsidRDefault="006D32D8" w:rsidP="00C36F19">
      <w:pPr>
        <w:pStyle w:val="Sinespaciado"/>
        <w:jc w:val="both"/>
        <w:rPr>
          <w:rFonts w:ascii="Times New Roman" w:hAnsi="Times New Roman"/>
          <w:color w:val="231F20"/>
          <w:sz w:val="24"/>
          <w:szCs w:val="24"/>
        </w:rPr>
      </w:pPr>
      <w:r>
        <w:rPr>
          <w:rFonts w:ascii="Times New Roman" w:hAnsi="Times New Roman"/>
          <w:color w:val="231F20"/>
          <w:sz w:val="24"/>
          <w:szCs w:val="24"/>
        </w:rPr>
        <w:t>No obstante, está última interpretación es algo más optimista sob</w:t>
      </w:r>
      <w:r w:rsidR="00EE5DEF">
        <w:rPr>
          <w:rFonts w:ascii="Times New Roman" w:hAnsi="Times New Roman"/>
          <w:color w:val="231F20"/>
          <w:sz w:val="24"/>
          <w:szCs w:val="24"/>
        </w:rPr>
        <w:t>re los efectos agregados de la l</w:t>
      </w:r>
      <w:r>
        <w:rPr>
          <w:rFonts w:ascii="Times New Roman" w:hAnsi="Times New Roman"/>
          <w:color w:val="231F20"/>
          <w:sz w:val="24"/>
          <w:szCs w:val="24"/>
        </w:rPr>
        <w:t>ey,</w:t>
      </w:r>
      <w:r w:rsidR="00D20D11">
        <w:rPr>
          <w:rFonts w:ascii="Times New Roman" w:hAnsi="Times New Roman"/>
          <w:color w:val="231F20"/>
          <w:sz w:val="24"/>
          <w:szCs w:val="24"/>
        </w:rPr>
        <w:t xml:space="preserve"> teniendo en consideración que de 2014 a 2015 los montos certificados aumentaron en un 54% en contraste con una diminución de 12% del gasto efectivamente gastado. E</w:t>
      </w:r>
      <w:r w:rsidR="00550CB7">
        <w:rPr>
          <w:rFonts w:ascii="Times New Roman" w:hAnsi="Times New Roman"/>
          <w:color w:val="231F20"/>
          <w:sz w:val="24"/>
          <w:szCs w:val="24"/>
        </w:rPr>
        <w:t>l Gráfico 2</w:t>
      </w:r>
      <w:r w:rsidR="00EE5DEF">
        <w:rPr>
          <w:rFonts w:ascii="Times New Roman" w:hAnsi="Times New Roman"/>
          <w:color w:val="231F20"/>
          <w:sz w:val="24"/>
          <w:szCs w:val="24"/>
        </w:rPr>
        <w:t>.6</w:t>
      </w:r>
      <w:r>
        <w:rPr>
          <w:rFonts w:ascii="Times New Roman" w:hAnsi="Times New Roman"/>
          <w:color w:val="231F20"/>
          <w:sz w:val="24"/>
          <w:szCs w:val="24"/>
        </w:rPr>
        <w:t xml:space="preserve"> muestra </w:t>
      </w:r>
      <w:r w:rsidR="00A141C7">
        <w:rPr>
          <w:rFonts w:ascii="Times New Roman" w:hAnsi="Times New Roman"/>
          <w:color w:val="231F20"/>
          <w:sz w:val="24"/>
          <w:szCs w:val="24"/>
        </w:rPr>
        <w:t>la evolución del gasto ejecutado</w:t>
      </w:r>
      <w:r>
        <w:rPr>
          <w:rFonts w:ascii="Times New Roman" w:hAnsi="Times New Roman"/>
          <w:color w:val="231F20"/>
          <w:sz w:val="24"/>
          <w:szCs w:val="24"/>
        </w:rPr>
        <w:t xml:space="preserve"> por las empresas versus el gasto financiado por las empresas chilenas, esbozando la interpretación que la posibilidad de ocupar financiamiento estatal para ejecutar I+D no ha sido del todo aprovechada por las firmas, la barra azul debiera ser considerablemente superior a la barra naranja en un escenario que las empresas financiaran su ejecución de gasto en I+D vía el incentivo tributario. </w:t>
      </w:r>
    </w:p>
    <w:p w14:paraId="5F554CCC" w14:textId="77777777" w:rsidR="00C36F19" w:rsidRPr="00C36F19" w:rsidRDefault="00C36F19" w:rsidP="00C36F19">
      <w:pPr>
        <w:pStyle w:val="Sinespaciado"/>
        <w:jc w:val="both"/>
        <w:rPr>
          <w:rFonts w:ascii="Times New Roman" w:hAnsi="Times New Roman"/>
          <w:color w:val="231F20"/>
          <w:sz w:val="24"/>
          <w:szCs w:val="24"/>
        </w:rPr>
      </w:pPr>
    </w:p>
    <w:p w14:paraId="78F4990D" w14:textId="59479492" w:rsidR="006D32D8" w:rsidRPr="006A0175" w:rsidRDefault="005C0F1F" w:rsidP="006D32D8">
      <w:pPr>
        <w:spacing w:after="0" w:line="240" w:lineRule="auto"/>
        <w:jc w:val="center"/>
        <w:rPr>
          <w:rFonts w:ascii="Times New Roman" w:eastAsia="Times New Roman" w:hAnsi="Times New Roman" w:cs="Times New Roman"/>
          <w:color w:val="000000"/>
          <w:sz w:val="24"/>
          <w:szCs w:val="24"/>
          <w:u w:val="single"/>
          <w:lang w:val="es-CL" w:eastAsia="es-CL"/>
        </w:rPr>
      </w:pPr>
      <w:r>
        <w:rPr>
          <w:rFonts w:ascii="Times New Roman" w:eastAsia="Times New Roman" w:hAnsi="Times New Roman" w:cs="Times New Roman"/>
          <w:color w:val="000000"/>
          <w:sz w:val="24"/>
          <w:szCs w:val="24"/>
          <w:u w:val="single"/>
          <w:lang w:val="es-CL" w:eastAsia="es-CL"/>
        </w:rPr>
        <w:t>Gráfico 2</w:t>
      </w:r>
      <w:r w:rsidR="00EE5DEF">
        <w:rPr>
          <w:rFonts w:ascii="Times New Roman" w:eastAsia="Times New Roman" w:hAnsi="Times New Roman" w:cs="Times New Roman"/>
          <w:color w:val="000000"/>
          <w:sz w:val="24"/>
          <w:szCs w:val="24"/>
          <w:u w:val="single"/>
          <w:lang w:val="es-CL" w:eastAsia="es-CL"/>
        </w:rPr>
        <w:t>.6</w:t>
      </w:r>
      <w:r w:rsidR="006D32D8" w:rsidRPr="006A0175">
        <w:rPr>
          <w:rFonts w:ascii="Times New Roman" w:eastAsia="Times New Roman" w:hAnsi="Times New Roman" w:cs="Times New Roman"/>
          <w:color w:val="000000"/>
          <w:sz w:val="24"/>
          <w:szCs w:val="24"/>
          <w:u w:val="single"/>
          <w:lang w:val="es-CL" w:eastAsia="es-CL"/>
        </w:rPr>
        <w:t>: Dinámica de la relación entre financiamiento y ejecución del gasto en I+D por empresas, 2</w:t>
      </w:r>
      <w:r w:rsidR="006D32D8">
        <w:rPr>
          <w:rFonts w:ascii="Times New Roman" w:eastAsia="Times New Roman" w:hAnsi="Times New Roman" w:cs="Times New Roman"/>
          <w:color w:val="000000"/>
          <w:sz w:val="24"/>
          <w:szCs w:val="24"/>
          <w:u w:val="single"/>
          <w:lang w:val="es-CL" w:eastAsia="es-CL"/>
        </w:rPr>
        <w:t>008-2014</w:t>
      </w:r>
    </w:p>
    <w:p w14:paraId="5AA08D05" w14:textId="77777777" w:rsidR="006D32D8" w:rsidRPr="006A0175" w:rsidRDefault="006D32D8" w:rsidP="006D32D8">
      <w:pPr>
        <w:spacing w:after="0" w:line="240" w:lineRule="auto"/>
        <w:jc w:val="center"/>
        <w:rPr>
          <w:rFonts w:ascii="Times New Roman" w:eastAsia="Times New Roman" w:hAnsi="Times New Roman" w:cs="Times New Roman"/>
          <w:color w:val="000000"/>
          <w:sz w:val="24"/>
          <w:szCs w:val="24"/>
          <w:u w:val="single"/>
          <w:lang w:val="es-CL" w:eastAsia="es-CL"/>
        </w:rPr>
      </w:pPr>
      <w:r w:rsidRPr="006A0175">
        <w:rPr>
          <w:rFonts w:ascii="Times New Roman" w:hAnsi="Times New Roman" w:cs="Times New Roman"/>
          <w:noProof/>
          <w:sz w:val="24"/>
          <w:szCs w:val="24"/>
          <w:lang w:val="es-CL" w:eastAsia="es-CL"/>
        </w:rPr>
        <w:drawing>
          <wp:inline distT="0" distB="0" distL="0" distR="0" wp14:anchorId="7863C2E8" wp14:editId="2639277C">
            <wp:extent cx="5286375" cy="24003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C4ED80D" w14:textId="77777777" w:rsidR="006D32D8" w:rsidRPr="006A0175" w:rsidRDefault="006D32D8" w:rsidP="006D32D8">
      <w:pPr>
        <w:spacing w:after="0" w:line="240" w:lineRule="auto"/>
        <w:jc w:val="center"/>
        <w:rPr>
          <w:rFonts w:ascii="Times New Roman" w:eastAsia="Times New Roman" w:hAnsi="Times New Roman" w:cs="Times New Roman"/>
          <w:color w:val="000000"/>
          <w:sz w:val="24"/>
          <w:szCs w:val="24"/>
          <w:u w:val="single"/>
          <w:lang w:val="es-CL" w:eastAsia="es-CL"/>
        </w:rPr>
      </w:pPr>
    </w:p>
    <w:p w14:paraId="57C33F64" w14:textId="77777777" w:rsidR="006D32D8" w:rsidRPr="00EF28FD" w:rsidRDefault="006D32D8" w:rsidP="006D32D8">
      <w:pPr>
        <w:pStyle w:val="Sinespaciado"/>
        <w:jc w:val="both"/>
        <w:rPr>
          <w:rFonts w:ascii="Times New Roman" w:hAnsi="Times New Roman"/>
          <w:sz w:val="20"/>
          <w:szCs w:val="20"/>
        </w:rPr>
      </w:pPr>
      <w:r w:rsidRPr="00EF28FD">
        <w:rPr>
          <w:rFonts w:ascii="Times New Roman" w:hAnsi="Times New Roman"/>
          <w:sz w:val="20"/>
          <w:szCs w:val="20"/>
        </w:rPr>
        <w:t>Fuente: Cuarta encuesta de gasto y personal en I+D, Ministerio de Economía, 2015.</w:t>
      </w:r>
    </w:p>
    <w:p w14:paraId="35B9EBC0" w14:textId="2D4DD748" w:rsidR="006D5C35" w:rsidRDefault="006D5C35" w:rsidP="006D5C35">
      <w:pPr>
        <w:pStyle w:val="Sinespaciado"/>
        <w:jc w:val="both"/>
        <w:rPr>
          <w:rFonts w:ascii="Times New Roman" w:hAnsi="Times New Roman"/>
          <w:sz w:val="24"/>
          <w:szCs w:val="24"/>
        </w:rPr>
      </w:pPr>
      <w:bookmarkStart w:id="9" w:name="_Toc365282944"/>
    </w:p>
    <w:p w14:paraId="72B5292D" w14:textId="32574734" w:rsidR="00B911CD" w:rsidRPr="006A0175" w:rsidRDefault="00B911CD" w:rsidP="00B911CD">
      <w:pPr>
        <w:jc w:val="both"/>
        <w:rPr>
          <w:rFonts w:ascii="Times New Roman" w:hAnsi="Times New Roman"/>
          <w:sz w:val="24"/>
          <w:szCs w:val="24"/>
        </w:rPr>
      </w:pPr>
      <w:r w:rsidRPr="00902DA8">
        <w:rPr>
          <w:rFonts w:ascii="Times New Roman" w:hAnsi="Times New Roman" w:cs="Times New Roman"/>
          <w:sz w:val="24"/>
          <w:szCs w:val="24"/>
        </w:rPr>
        <w:lastRenderedPageBreak/>
        <w:t>Si bien la estadística descriptiva es útil para entender</w:t>
      </w:r>
      <w:r w:rsidR="00EE5DEF">
        <w:rPr>
          <w:rFonts w:ascii="Times New Roman" w:hAnsi="Times New Roman" w:cs="Times New Roman"/>
          <w:sz w:val="24"/>
          <w:szCs w:val="24"/>
        </w:rPr>
        <w:t xml:space="preserve"> los órdenes de magnitud de la l</w:t>
      </w:r>
      <w:r w:rsidRPr="00902DA8">
        <w:rPr>
          <w:rFonts w:ascii="Times New Roman" w:hAnsi="Times New Roman" w:cs="Times New Roman"/>
          <w:sz w:val="24"/>
          <w:szCs w:val="24"/>
        </w:rPr>
        <w:t>ey, e</w:t>
      </w:r>
      <w:r w:rsidR="00EE5DEF">
        <w:rPr>
          <w:rFonts w:ascii="Times New Roman" w:hAnsi="Times New Roman" w:cs="Times New Roman"/>
          <w:sz w:val="24"/>
          <w:szCs w:val="24"/>
        </w:rPr>
        <w:t>l resultado y el impacto de la misma</w:t>
      </w:r>
      <w:r w:rsidRPr="00902DA8">
        <w:rPr>
          <w:rFonts w:ascii="Times New Roman" w:hAnsi="Times New Roman" w:cs="Times New Roman"/>
          <w:sz w:val="24"/>
          <w:szCs w:val="24"/>
        </w:rPr>
        <w:t xml:space="preserve"> son los </w:t>
      </w:r>
      <w:r>
        <w:rPr>
          <w:rFonts w:ascii="Times New Roman" w:hAnsi="Times New Roman" w:cs="Times New Roman"/>
          <w:sz w:val="24"/>
          <w:szCs w:val="24"/>
        </w:rPr>
        <w:t>puntos claves para</w:t>
      </w:r>
      <w:r w:rsidRPr="00902DA8">
        <w:rPr>
          <w:rFonts w:ascii="Times New Roman" w:hAnsi="Times New Roman" w:cs="Times New Roman"/>
          <w:sz w:val="24"/>
          <w:szCs w:val="24"/>
        </w:rPr>
        <w:t xml:space="preserve"> evaluar la eficacia y eficiencia de la herramienta. </w:t>
      </w:r>
      <w:r>
        <w:rPr>
          <w:rFonts w:ascii="Times New Roman" w:hAnsi="Times New Roman" w:cs="Times New Roman"/>
          <w:sz w:val="24"/>
          <w:szCs w:val="24"/>
        </w:rPr>
        <w:t xml:space="preserve">Para medir el impacto se requiere de la construcción de un </w:t>
      </w:r>
      <w:proofErr w:type="spellStart"/>
      <w:r>
        <w:rPr>
          <w:rFonts w:ascii="Times New Roman" w:hAnsi="Times New Roman" w:cs="Times New Roman"/>
          <w:sz w:val="24"/>
          <w:szCs w:val="24"/>
        </w:rPr>
        <w:t>contrafactual</w:t>
      </w:r>
      <w:proofErr w:type="spellEnd"/>
      <w:r>
        <w:rPr>
          <w:rFonts w:ascii="Times New Roman" w:hAnsi="Times New Roman" w:cs="Times New Roman"/>
          <w:sz w:val="24"/>
          <w:szCs w:val="24"/>
        </w:rPr>
        <w:t xml:space="preserve"> idóneo, escenario no disponible para este informe. Sin embargo,</w:t>
      </w:r>
      <w:r w:rsidR="00A141C7">
        <w:rPr>
          <w:rFonts w:ascii="Times New Roman" w:hAnsi="Times New Roman" w:cs="Times New Roman"/>
          <w:sz w:val="24"/>
          <w:szCs w:val="24"/>
        </w:rPr>
        <w:t xml:space="preserve"> los resultados del incentivo sí</w:t>
      </w:r>
      <w:r>
        <w:rPr>
          <w:rFonts w:ascii="Times New Roman" w:hAnsi="Times New Roman" w:cs="Times New Roman"/>
          <w:sz w:val="24"/>
          <w:szCs w:val="24"/>
        </w:rPr>
        <w:t xml:space="preserve"> permiten evaluar la efectividad del diseño del instrumento.</w:t>
      </w:r>
    </w:p>
    <w:p w14:paraId="122E9EF0" w14:textId="4239D676" w:rsidR="008C18D2" w:rsidRPr="00C72D84" w:rsidRDefault="00D20D39" w:rsidP="00C72D84">
      <w:pPr>
        <w:pStyle w:val="Ttulo1"/>
      </w:pPr>
      <w:r>
        <w:t xml:space="preserve"> </w:t>
      </w:r>
      <w:bookmarkStart w:id="10" w:name="_Toc470081853"/>
      <w:r>
        <w:t>B-</w:t>
      </w:r>
      <w:proofErr w:type="spellStart"/>
      <w:r>
        <w:t>Index</w:t>
      </w:r>
      <w:proofErr w:type="spellEnd"/>
      <w:r>
        <w:t xml:space="preserve">: </w:t>
      </w:r>
      <w:r w:rsidR="00D20D11">
        <w:t>“Generosidad” del incentivo tributario</w:t>
      </w:r>
      <w:bookmarkEnd w:id="10"/>
    </w:p>
    <w:p w14:paraId="4833BA9F" w14:textId="77777777" w:rsidR="00B64F73" w:rsidRPr="00C72D84" w:rsidRDefault="00B64F73" w:rsidP="00FC686F">
      <w:pPr>
        <w:pStyle w:val="Ttulo2"/>
        <w:numPr>
          <w:ilvl w:val="0"/>
          <w:numId w:val="8"/>
        </w:numPr>
      </w:pPr>
      <w:bookmarkStart w:id="11" w:name="_Toc470081854"/>
      <w:r w:rsidRPr="00C72D84">
        <w:t>Modelo teórico</w:t>
      </w:r>
      <w:bookmarkEnd w:id="11"/>
    </w:p>
    <w:p w14:paraId="03891D38" w14:textId="325AAE30" w:rsidR="00575639" w:rsidRPr="00902DA8" w:rsidRDefault="005C0F1F" w:rsidP="00902DA8">
      <w:pPr>
        <w:jc w:val="both"/>
        <w:rPr>
          <w:rFonts w:ascii="Times New Roman" w:hAnsi="Times New Roman" w:cs="Times New Roman"/>
          <w:sz w:val="24"/>
          <w:szCs w:val="24"/>
        </w:rPr>
      </w:pPr>
      <w:r>
        <w:rPr>
          <w:rFonts w:ascii="Times New Roman" w:hAnsi="Times New Roman" w:cs="Times New Roman"/>
          <w:sz w:val="24"/>
          <w:szCs w:val="24"/>
        </w:rPr>
        <w:t>S</w:t>
      </w:r>
      <w:r w:rsidR="00B64F73" w:rsidRPr="00902DA8">
        <w:rPr>
          <w:rFonts w:ascii="Times New Roman" w:hAnsi="Times New Roman" w:cs="Times New Roman"/>
          <w:sz w:val="24"/>
          <w:szCs w:val="24"/>
        </w:rPr>
        <w:t>e utilizará como referencia el modelo teórico present</w:t>
      </w:r>
      <w:r w:rsidR="00771A57" w:rsidRPr="00902DA8">
        <w:rPr>
          <w:rFonts w:ascii="Times New Roman" w:hAnsi="Times New Roman" w:cs="Times New Roman"/>
          <w:sz w:val="24"/>
          <w:szCs w:val="24"/>
        </w:rPr>
        <w:t>ado en el informe elaborado por</w:t>
      </w:r>
      <w:r w:rsidR="00B64F73" w:rsidRPr="00902DA8">
        <w:rPr>
          <w:rFonts w:ascii="Times New Roman" w:hAnsi="Times New Roman" w:cs="Times New Roman"/>
          <w:sz w:val="24"/>
          <w:szCs w:val="24"/>
        </w:rPr>
        <w:t xml:space="preserve"> </w:t>
      </w:r>
      <w:proofErr w:type="spellStart"/>
      <w:r w:rsidR="00B64F73" w:rsidRPr="00902DA8">
        <w:rPr>
          <w:rFonts w:ascii="Times New Roman" w:hAnsi="Times New Roman" w:cs="Times New Roman"/>
          <w:sz w:val="24"/>
          <w:szCs w:val="24"/>
        </w:rPr>
        <w:t>Mohnen</w:t>
      </w:r>
      <w:proofErr w:type="spellEnd"/>
      <w:r w:rsidR="00B64F73" w:rsidRPr="00902DA8">
        <w:rPr>
          <w:rFonts w:ascii="Times New Roman" w:hAnsi="Times New Roman" w:cs="Times New Roman"/>
          <w:sz w:val="24"/>
          <w:szCs w:val="24"/>
        </w:rPr>
        <w:t xml:space="preserve"> y </w:t>
      </w:r>
      <w:proofErr w:type="spellStart"/>
      <w:r w:rsidR="00B64F73" w:rsidRPr="00902DA8">
        <w:rPr>
          <w:rFonts w:ascii="Times New Roman" w:hAnsi="Times New Roman" w:cs="Times New Roman"/>
          <w:sz w:val="24"/>
          <w:szCs w:val="24"/>
        </w:rPr>
        <w:t>Olivari</w:t>
      </w:r>
      <w:proofErr w:type="spellEnd"/>
      <w:r w:rsidR="00B64F73" w:rsidRPr="00902DA8">
        <w:rPr>
          <w:rFonts w:ascii="Times New Roman" w:hAnsi="Times New Roman" w:cs="Times New Roman"/>
          <w:sz w:val="24"/>
          <w:szCs w:val="24"/>
        </w:rPr>
        <w:t xml:space="preserve"> (2013) titulado “</w:t>
      </w:r>
      <w:proofErr w:type="spellStart"/>
      <w:r w:rsidR="00B64F73" w:rsidRPr="00902DA8">
        <w:rPr>
          <w:rFonts w:ascii="Times New Roman" w:hAnsi="Times New Roman" w:cs="Times New Roman"/>
          <w:sz w:val="24"/>
          <w:szCs w:val="24"/>
        </w:rPr>
        <w:t>The</w:t>
      </w:r>
      <w:proofErr w:type="spellEnd"/>
      <w:r w:rsidR="00B64F73" w:rsidRPr="00902DA8">
        <w:rPr>
          <w:rFonts w:ascii="Times New Roman" w:hAnsi="Times New Roman" w:cs="Times New Roman"/>
          <w:sz w:val="24"/>
          <w:szCs w:val="24"/>
        </w:rPr>
        <w:t xml:space="preserve"> R&amp;D </w:t>
      </w:r>
      <w:proofErr w:type="spellStart"/>
      <w:r w:rsidR="00B64F73" w:rsidRPr="00902DA8">
        <w:rPr>
          <w:rFonts w:ascii="Times New Roman" w:hAnsi="Times New Roman" w:cs="Times New Roman"/>
          <w:sz w:val="24"/>
          <w:szCs w:val="24"/>
        </w:rPr>
        <w:t>Tax</w:t>
      </w:r>
      <w:proofErr w:type="spellEnd"/>
      <w:r w:rsidR="00B64F73" w:rsidRPr="00902DA8">
        <w:rPr>
          <w:rFonts w:ascii="Times New Roman" w:hAnsi="Times New Roman" w:cs="Times New Roman"/>
          <w:sz w:val="24"/>
          <w:szCs w:val="24"/>
        </w:rPr>
        <w:t xml:space="preserve"> </w:t>
      </w:r>
      <w:proofErr w:type="spellStart"/>
      <w:r w:rsidR="00B64F73" w:rsidRPr="00902DA8">
        <w:rPr>
          <w:rFonts w:ascii="Times New Roman" w:hAnsi="Times New Roman" w:cs="Times New Roman"/>
          <w:sz w:val="24"/>
          <w:szCs w:val="24"/>
        </w:rPr>
        <w:t>Credit</w:t>
      </w:r>
      <w:proofErr w:type="spellEnd"/>
      <w:r w:rsidR="00B64F73" w:rsidRPr="00902DA8">
        <w:rPr>
          <w:rFonts w:ascii="Times New Roman" w:hAnsi="Times New Roman" w:cs="Times New Roman"/>
          <w:sz w:val="24"/>
          <w:szCs w:val="24"/>
        </w:rPr>
        <w:t xml:space="preserve"> of Chile: A </w:t>
      </w:r>
      <w:proofErr w:type="spellStart"/>
      <w:r w:rsidR="00B64F73" w:rsidRPr="00902DA8">
        <w:rPr>
          <w:rFonts w:ascii="Times New Roman" w:hAnsi="Times New Roman" w:cs="Times New Roman"/>
          <w:sz w:val="24"/>
          <w:szCs w:val="24"/>
        </w:rPr>
        <w:t>Baseline</w:t>
      </w:r>
      <w:proofErr w:type="spellEnd"/>
      <w:r w:rsidR="00B64F73" w:rsidRPr="00902DA8">
        <w:rPr>
          <w:rFonts w:ascii="Times New Roman" w:hAnsi="Times New Roman" w:cs="Times New Roman"/>
          <w:sz w:val="24"/>
          <w:szCs w:val="24"/>
        </w:rPr>
        <w:t xml:space="preserve"> </w:t>
      </w:r>
      <w:proofErr w:type="spellStart"/>
      <w:r w:rsidR="00B64F73" w:rsidRPr="00902DA8">
        <w:rPr>
          <w:rFonts w:ascii="Times New Roman" w:hAnsi="Times New Roman" w:cs="Times New Roman"/>
          <w:sz w:val="24"/>
          <w:szCs w:val="24"/>
        </w:rPr>
        <w:t>Study</w:t>
      </w:r>
      <w:proofErr w:type="spellEnd"/>
      <w:r w:rsidR="00B64F73" w:rsidRPr="00902DA8">
        <w:rPr>
          <w:rFonts w:ascii="Times New Roman" w:hAnsi="Times New Roman" w:cs="Times New Roman"/>
          <w:sz w:val="24"/>
          <w:szCs w:val="24"/>
        </w:rPr>
        <w:t>”. El objetivo principal de un crédito tributario es incrementar la inversión</w:t>
      </w:r>
      <w:r w:rsidR="00EE5DEF">
        <w:rPr>
          <w:rFonts w:ascii="Times New Roman" w:hAnsi="Times New Roman" w:cs="Times New Roman"/>
          <w:sz w:val="24"/>
          <w:szCs w:val="24"/>
        </w:rPr>
        <w:t xml:space="preserve"> privada</w:t>
      </w:r>
      <w:r w:rsidR="00B64F73" w:rsidRPr="00902DA8">
        <w:rPr>
          <w:rFonts w:ascii="Times New Roman" w:hAnsi="Times New Roman" w:cs="Times New Roman"/>
          <w:sz w:val="24"/>
          <w:szCs w:val="24"/>
        </w:rPr>
        <w:t xml:space="preserve"> en I+D a tra</w:t>
      </w:r>
      <w:r w:rsidR="00674D0E" w:rsidRPr="00902DA8">
        <w:rPr>
          <w:rFonts w:ascii="Times New Roman" w:hAnsi="Times New Roman" w:cs="Times New Roman"/>
          <w:sz w:val="24"/>
          <w:szCs w:val="24"/>
        </w:rPr>
        <w:t xml:space="preserve">vés de una reducción de costos que </w:t>
      </w:r>
      <w:r w:rsidR="00550CB7" w:rsidRPr="00902DA8">
        <w:rPr>
          <w:rFonts w:ascii="Times New Roman" w:hAnsi="Times New Roman" w:cs="Times New Roman"/>
          <w:sz w:val="24"/>
          <w:szCs w:val="24"/>
        </w:rPr>
        <w:t>enfrentan</w:t>
      </w:r>
      <w:r w:rsidR="00B64F73" w:rsidRPr="00902DA8">
        <w:rPr>
          <w:rFonts w:ascii="Times New Roman" w:hAnsi="Times New Roman" w:cs="Times New Roman"/>
          <w:sz w:val="24"/>
          <w:szCs w:val="24"/>
        </w:rPr>
        <w:t xml:space="preserve"> las empresas. La I+D es considerada una actividad a través de la cual se genera un tipo de capital intangible: capital de conocimiento. Es así como la decisión de inversión en el llamado capital de conocimiento comparte algunos estándares con la teoría del óptimo de acumulación de capital físico, </w:t>
      </w:r>
      <w:r w:rsidR="00771A57" w:rsidRPr="00902DA8">
        <w:rPr>
          <w:rFonts w:ascii="Times New Roman" w:hAnsi="Times New Roman" w:cs="Times New Roman"/>
          <w:sz w:val="24"/>
          <w:szCs w:val="24"/>
        </w:rPr>
        <w:t>aunque</w:t>
      </w:r>
      <w:r w:rsidR="00B64F73" w:rsidRPr="00902DA8">
        <w:rPr>
          <w:rFonts w:ascii="Times New Roman" w:hAnsi="Times New Roman" w:cs="Times New Roman"/>
          <w:sz w:val="24"/>
          <w:szCs w:val="24"/>
        </w:rPr>
        <w:t xml:space="preserve"> no es exactamente igual.</w:t>
      </w:r>
    </w:p>
    <w:p w14:paraId="65F11405" w14:textId="2F2FF36B" w:rsidR="00B64F73" w:rsidRPr="00902DA8" w:rsidRDefault="00B64F73" w:rsidP="00902DA8">
      <w:pPr>
        <w:jc w:val="both"/>
        <w:rPr>
          <w:rFonts w:ascii="Times New Roman" w:hAnsi="Times New Roman" w:cs="Times New Roman"/>
          <w:sz w:val="24"/>
          <w:szCs w:val="24"/>
        </w:rPr>
      </w:pPr>
      <w:r w:rsidRPr="00902DA8">
        <w:rPr>
          <w:rFonts w:ascii="Times New Roman" w:hAnsi="Times New Roman" w:cs="Times New Roman"/>
          <w:sz w:val="24"/>
          <w:szCs w:val="24"/>
        </w:rPr>
        <w:t>La teoría de la acumulación de capital óptimo comienza con una firma que maximiza inter</w:t>
      </w:r>
      <w:r w:rsidR="008C18D2" w:rsidRPr="00902DA8">
        <w:rPr>
          <w:rFonts w:ascii="Times New Roman" w:hAnsi="Times New Roman" w:cs="Times New Roman"/>
          <w:sz w:val="24"/>
          <w:szCs w:val="24"/>
        </w:rPr>
        <w:t>-</w:t>
      </w:r>
      <w:r w:rsidRPr="00902DA8">
        <w:rPr>
          <w:rFonts w:ascii="Times New Roman" w:hAnsi="Times New Roman" w:cs="Times New Roman"/>
          <w:sz w:val="24"/>
          <w:szCs w:val="24"/>
        </w:rPr>
        <w:t xml:space="preserve">temporalmente sus beneficios. </w:t>
      </w:r>
      <w:r w:rsidR="008C18D2" w:rsidRPr="00902DA8">
        <w:rPr>
          <w:rFonts w:ascii="Times New Roman" w:hAnsi="Times New Roman" w:cs="Times New Roman"/>
          <w:sz w:val="24"/>
          <w:szCs w:val="24"/>
        </w:rPr>
        <w:t>Además,</w:t>
      </w:r>
      <w:r w:rsidRPr="00902DA8">
        <w:rPr>
          <w:rFonts w:ascii="Times New Roman" w:hAnsi="Times New Roman" w:cs="Times New Roman"/>
          <w:sz w:val="24"/>
          <w:szCs w:val="24"/>
        </w:rPr>
        <w:t xml:space="preserve"> la empresa puede suplirse de los servicios del capital a través de la adquisición de bienes de inversión. En otras palabras, la empresa representativa trata de maximizar el valor actual neto inter</w:t>
      </w:r>
      <w:r w:rsidR="008C18D2" w:rsidRPr="00902DA8">
        <w:rPr>
          <w:rFonts w:ascii="Times New Roman" w:hAnsi="Times New Roman" w:cs="Times New Roman"/>
          <w:sz w:val="24"/>
          <w:szCs w:val="24"/>
        </w:rPr>
        <w:t>-</w:t>
      </w:r>
      <w:r w:rsidRPr="00902DA8">
        <w:rPr>
          <w:rFonts w:ascii="Times New Roman" w:hAnsi="Times New Roman" w:cs="Times New Roman"/>
          <w:sz w:val="24"/>
          <w:szCs w:val="24"/>
        </w:rPr>
        <w:t>temporalmente, sometida a dos restricciones, una dada por la tecnología (forma de la función de producción) y la otra por el proceso de acumulación del capital. El cambio en el stock de capital, en este modelo, viene dado por la inversión que se ejecutó en el período menos el porcentaje de stock de capital depreciado</w:t>
      </w:r>
      <w:r w:rsidR="00771A57" w:rsidRPr="005C0F1F">
        <w:rPr>
          <w:rFonts w:ascii="Times New Roman" w:hAnsi="Times New Roman" w:cs="Times New Roman"/>
          <w:sz w:val="24"/>
          <w:szCs w:val="24"/>
          <w:vertAlign w:val="superscript"/>
        </w:rPr>
        <w:footnoteReference w:id="10"/>
      </w:r>
      <w:r w:rsidR="005C0F1F">
        <w:rPr>
          <w:rFonts w:ascii="Times New Roman" w:hAnsi="Times New Roman" w:cs="Times New Roman"/>
          <w:sz w:val="24"/>
          <w:szCs w:val="24"/>
        </w:rPr>
        <w:t>.</w:t>
      </w:r>
    </w:p>
    <w:p w14:paraId="6A401501" w14:textId="1B185379" w:rsidR="00B64F73" w:rsidRPr="00550CB7" w:rsidRDefault="00B64F73" w:rsidP="00550CB7">
      <w:pPr>
        <w:jc w:val="both"/>
        <w:rPr>
          <w:rFonts w:ascii="Times New Roman" w:hAnsi="Times New Roman" w:cs="Times New Roman"/>
          <w:sz w:val="24"/>
          <w:szCs w:val="24"/>
        </w:rPr>
      </w:pPr>
      <w:r w:rsidRPr="00902DA8">
        <w:rPr>
          <w:rFonts w:ascii="Times New Roman" w:hAnsi="Times New Roman" w:cs="Times New Roman"/>
          <w:sz w:val="24"/>
          <w:szCs w:val="24"/>
        </w:rPr>
        <w:t xml:space="preserve">En el modelo </w:t>
      </w:r>
      <w:r w:rsidR="00575639" w:rsidRPr="00902DA8">
        <w:rPr>
          <w:rFonts w:ascii="Times New Roman" w:hAnsi="Times New Roman" w:cs="Times New Roman"/>
          <w:sz w:val="24"/>
          <w:szCs w:val="24"/>
        </w:rPr>
        <w:t>estándar</w:t>
      </w:r>
      <w:r w:rsidRPr="00902DA8">
        <w:rPr>
          <w:rFonts w:ascii="Times New Roman" w:hAnsi="Times New Roman" w:cs="Times New Roman"/>
          <w:sz w:val="24"/>
          <w:szCs w:val="24"/>
        </w:rPr>
        <w:t xml:space="preserve"> de una variable de entrada (trabajo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902DA8">
        <w:rPr>
          <w:rFonts w:ascii="Times New Roman" w:hAnsi="Times New Roman" w:cs="Times New Roman"/>
          <w:sz w:val="24"/>
          <w:szCs w:val="24"/>
        </w:rPr>
        <w:t>) e inversión (</w:t>
      </w:r>
      <m:oMath>
        <m:r>
          <w:rPr>
            <w:rFonts w:ascii="Cambria Math" w:hAnsi="Cambria Math" w:cs="Times New Roman"/>
            <w:sz w:val="24"/>
            <w:szCs w:val="24"/>
          </w:rPr>
          <m:t>I</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902DA8">
        <w:rPr>
          <w:rFonts w:ascii="Times New Roman" w:hAnsi="Times New Roman" w:cs="Times New Roman"/>
          <w:sz w:val="24"/>
          <w:szCs w:val="24"/>
        </w:rPr>
        <w:t xml:space="preserve"> la firma quiere maximizar sus </w:t>
      </w:r>
      <w:r w:rsidR="00575639" w:rsidRPr="00902DA8">
        <w:rPr>
          <w:rFonts w:ascii="Times New Roman" w:hAnsi="Times New Roman" w:cs="Times New Roman"/>
          <w:sz w:val="24"/>
          <w:szCs w:val="24"/>
        </w:rPr>
        <w:t>beneficios</w:t>
      </w:r>
      <w:r w:rsidRPr="00902DA8">
        <w:rPr>
          <w:rFonts w:ascii="Times New Roman" w:hAnsi="Times New Roman" w:cs="Times New Roman"/>
          <w:sz w:val="24"/>
          <w:szCs w:val="24"/>
        </w:rPr>
        <w:t xml:space="preserve">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550CB7">
        <w:rPr>
          <w:rFonts w:ascii="Times New Roman" w:hAnsi="Times New Roman" w:cs="Times New Roman"/>
          <w:sz w:val="24"/>
          <w:szCs w:val="24"/>
        </w:rPr>
        <w:t>:</w:t>
      </w:r>
    </w:p>
    <w:p w14:paraId="3772C312" w14:textId="77777777" w:rsidR="00B64F73" w:rsidRPr="006A0175" w:rsidRDefault="00B64F73" w:rsidP="00B64F73">
      <w:pPr>
        <w:spacing w:after="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-q(t)∙I(t)</m:t>
          </m:r>
        </m:oMath>
      </m:oMathPara>
    </w:p>
    <w:p w14:paraId="48B25F1B" w14:textId="77777777" w:rsidR="00B64F73" w:rsidRPr="006A0175" w:rsidRDefault="00B64F73" w:rsidP="00B64F73">
      <w:pPr>
        <w:spacing w:after="0" w:line="240" w:lineRule="auto"/>
        <w:jc w:val="both"/>
        <w:rPr>
          <w:rFonts w:ascii="Times New Roman" w:eastAsiaTheme="minorEastAsia" w:hAnsi="Times New Roman" w:cs="Times New Roman"/>
          <w:sz w:val="24"/>
          <w:szCs w:val="24"/>
        </w:rPr>
      </w:pPr>
    </w:p>
    <w:p w14:paraId="7DF77947"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Sujeto a la función de producción:</w:t>
      </w:r>
    </w:p>
    <w:p w14:paraId="19F49D45"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p>
    <w:p w14:paraId="584218F0" w14:textId="77777777" w:rsidR="00B64F73" w:rsidRPr="006A0175" w:rsidRDefault="00B64F73" w:rsidP="00B64F73">
      <w:pPr>
        <w:spacing w:after="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Q,L,K</m:t>
              </m:r>
            </m:e>
          </m:d>
          <m:r>
            <w:rPr>
              <w:rFonts w:ascii="Cambria Math" w:eastAsiaTheme="minorEastAsia" w:hAnsi="Cambria Math" w:cs="Times New Roman"/>
              <w:sz w:val="24"/>
              <w:szCs w:val="24"/>
            </w:rPr>
            <m:t>=0</m:t>
          </m:r>
        </m:oMath>
      </m:oMathPara>
    </w:p>
    <w:p w14:paraId="7AC383DA" w14:textId="77777777" w:rsidR="00B64F73" w:rsidRPr="006A0175" w:rsidRDefault="00B64F73" w:rsidP="00B64F73">
      <w:pPr>
        <w:spacing w:after="0" w:line="240" w:lineRule="auto"/>
        <w:jc w:val="both"/>
        <w:rPr>
          <w:rFonts w:ascii="Times New Roman" w:eastAsiaTheme="minorEastAsia" w:hAnsi="Times New Roman" w:cs="Times New Roman"/>
          <w:sz w:val="24"/>
          <w:szCs w:val="24"/>
        </w:rPr>
      </w:pPr>
    </w:p>
    <w:p w14:paraId="39A64C24"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Y el cambio en el flujo de stock de capital </w:t>
      </w:r>
      <m:oMath>
        <m:r>
          <w:rPr>
            <w:rFonts w:ascii="Cambria Math" w:hAnsi="Cambria Math" w:cs="Times New Roman"/>
            <w:sz w:val="24"/>
            <w:szCs w:val="24"/>
          </w:rPr>
          <m:t>K</m:t>
        </m:r>
      </m:oMath>
      <w:r w:rsidRPr="006A0175">
        <w:rPr>
          <w:rFonts w:ascii="Times New Roman" w:eastAsiaTheme="minorEastAsia" w:hAnsi="Times New Roman" w:cs="Times New Roman"/>
          <w:sz w:val="24"/>
          <w:szCs w:val="24"/>
          <w:lang w:val="es-CL"/>
        </w:rPr>
        <w:t>:</w:t>
      </w:r>
    </w:p>
    <w:p w14:paraId="3BC3C3FD"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p>
    <w:p w14:paraId="6042A29D" w14:textId="77777777" w:rsidR="00B64F73" w:rsidRPr="006A0175" w:rsidRDefault="00CE39D4" w:rsidP="00B64F73">
      <w:pPr>
        <w:spacing w:after="0" w:line="240" w:lineRule="auto"/>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K(t)</m:t>
              </m:r>
            </m:e>
          </m:acc>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-δ∙K(t)</m:t>
          </m:r>
        </m:oMath>
      </m:oMathPara>
    </w:p>
    <w:p w14:paraId="77655BD7" w14:textId="77777777" w:rsidR="00B64F73" w:rsidRPr="006A0175" w:rsidRDefault="00B64F73" w:rsidP="00B64F73">
      <w:pPr>
        <w:spacing w:after="0" w:line="240" w:lineRule="auto"/>
        <w:jc w:val="both"/>
        <w:rPr>
          <w:rFonts w:ascii="Times New Roman" w:hAnsi="Times New Roman" w:cs="Times New Roman"/>
          <w:sz w:val="24"/>
          <w:szCs w:val="24"/>
        </w:rPr>
      </w:pPr>
    </w:p>
    <w:p w14:paraId="06813C26" w14:textId="05E23844"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r w:rsidRPr="006A0175">
        <w:rPr>
          <w:rFonts w:ascii="Times New Roman" w:hAnsi="Times New Roman" w:cs="Times New Roman"/>
          <w:sz w:val="24"/>
          <w:szCs w:val="24"/>
          <w:lang w:val="es-CL"/>
        </w:rPr>
        <w:t xml:space="preserve">Donde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lang w:val="es-CL"/>
          </w:rPr>
          <m:t xml:space="preserve">, </m:t>
        </m:r>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lang w:val="es-CL"/>
          </w:rPr>
          <m:t xml:space="preserve">, </m:t>
        </m:r>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t</m:t>
            </m:r>
          </m:e>
        </m:d>
      </m:oMath>
      <w:r w:rsidR="00771A57" w:rsidRPr="006A0175">
        <w:rPr>
          <w:rFonts w:ascii="Times New Roman" w:eastAsiaTheme="minorEastAsia" w:hAnsi="Times New Roman" w:cs="Times New Roman"/>
          <w:sz w:val="24"/>
          <w:szCs w:val="24"/>
          <w:lang w:val="es-CL"/>
        </w:rPr>
        <w:t xml:space="preserve"> son el precio de m</w:t>
      </w:r>
      <w:proofErr w:type="spellStart"/>
      <w:r w:rsidRPr="006A0175">
        <w:rPr>
          <w:rFonts w:ascii="Times New Roman" w:eastAsiaTheme="minorEastAsia" w:hAnsi="Times New Roman" w:cs="Times New Roman"/>
          <w:sz w:val="24"/>
          <w:szCs w:val="24"/>
          <w:lang w:val="es-CL"/>
        </w:rPr>
        <w:t>ercado</w:t>
      </w:r>
      <w:proofErr w:type="spellEnd"/>
      <w:r w:rsidRPr="006A0175">
        <w:rPr>
          <w:rFonts w:ascii="Times New Roman" w:eastAsiaTheme="minorEastAsia" w:hAnsi="Times New Roman" w:cs="Times New Roman"/>
          <w:sz w:val="24"/>
          <w:szCs w:val="24"/>
          <w:lang w:val="es-CL"/>
        </w:rPr>
        <w:t xml:space="preserve"> del producto final, el salario y el precio de la inversión respectivamente</w:t>
      </w:r>
      <w:r w:rsidR="00771A57" w:rsidRPr="006A0175">
        <w:rPr>
          <w:rFonts w:ascii="Times New Roman" w:eastAsiaTheme="minorEastAsia" w:hAnsi="Times New Roman" w:cs="Times New Roman"/>
          <w:sz w:val="24"/>
          <w:szCs w:val="24"/>
          <w:lang w:val="es-CL"/>
        </w:rPr>
        <w:t>, además del parámetro</w:t>
      </w:r>
      <w:r w:rsidRPr="006A0175">
        <w:rPr>
          <w:rFonts w:ascii="Times New Roman" w:eastAsiaTheme="minorEastAsia" w:hAnsi="Times New Roman" w:cs="Times New Roman"/>
          <w:sz w:val="24"/>
          <w:szCs w:val="24"/>
          <w:lang w:val="es-CL"/>
        </w:rPr>
        <w:t xml:space="preserve"> </w:t>
      </w:r>
      <m:oMath>
        <m:r>
          <m:rPr>
            <m:nor/>
          </m:rPr>
          <w:rPr>
            <w:rFonts w:ascii="Times New Roman" w:hAnsi="Times New Roman" w:cs="Times New Roman"/>
            <w:sz w:val="24"/>
            <w:szCs w:val="24"/>
          </w:rPr>
          <m:t>δ</m:t>
        </m:r>
      </m:oMath>
      <w:r w:rsidRPr="006A0175">
        <w:rPr>
          <w:rFonts w:ascii="Times New Roman" w:eastAsiaTheme="minorEastAsia" w:hAnsi="Times New Roman" w:cs="Times New Roman"/>
          <w:sz w:val="24"/>
          <w:szCs w:val="24"/>
          <w:lang w:val="es-CL"/>
        </w:rPr>
        <w:t xml:space="preserve"> </w:t>
      </w:r>
      <w:r w:rsidR="00771A57" w:rsidRPr="006A0175">
        <w:rPr>
          <w:rFonts w:ascii="Times New Roman" w:eastAsiaTheme="minorEastAsia" w:hAnsi="Times New Roman" w:cs="Times New Roman"/>
          <w:sz w:val="24"/>
          <w:szCs w:val="24"/>
          <w:lang w:val="es-CL"/>
        </w:rPr>
        <w:t>el cual representa</w:t>
      </w:r>
      <w:r w:rsidRPr="006A0175">
        <w:rPr>
          <w:rFonts w:ascii="Times New Roman" w:eastAsiaTheme="minorEastAsia" w:hAnsi="Times New Roman" w:cs="Times New Roman"/>
          <w:sz w:val="24"/>
          <w:szCs w:val="24"/>
          <w:lang w:val="es-CL"/>
        </w:rPr>
        <w:t xml:space="preserve"> la tasa de </w:t>
      </w:r>
      <w:r w:rsidRPr="006A0175">
        <w:rPr>
          <w:rFonts w:ascii="Times New Roman" w:eastAsiaTheme="minorEastAsia" w:hAnsi="Times New Roman" w:cs="Times New Roman"/>
          <w:sz w:val="24"/>
          <w:szCs w:val="24"/>
          <w:lang w:val="es-CL"/>
        </w:rPr>
        <w:lastRenderedPageBreak/>
        <w:t>depreciación</w:t>
      </w:r>
      <w:r w:rsidR="00771A57" w:rsidRPr="006A0175">
        <w:rPr>
          <w:rFonts w:ascii="Times New Roman" w:eastAsiaTheme="minorEastAsia" w:hAnsi="Times New Roman" w:cs="Times New Roman"/>
          <w:sz w:val="24"/>
          <w:szCs w:val="24"/>
          <w:lang w:val="es-CL"/>
        </w:rPr>
        <w:t xml:space="preserve"> del capital</w:t>
      </w:r>
      <w:r w:rsidRPr="006A0175">
        <w:rPr>
          <w:rFonts w:ascii="Times New Roman" w:eastAsiaTheme="minorEastAsia" w:hAnsi="Times New Roman" w:cs="Times New Roman"/>
          <w:sz w:val="24"/>
          <w:szCs w:val="24"/>
          <w:lang w:val="es-CL"/>
        </w:rPr>
        <w:t xml:space="preserve">. El costo del capital que enfrenta la firma está relacionado al precio del stock de capital a través de la adquisición de inversión a un precio de mercado </w:t>
      </w:r>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t</m:t>
            </m:r>
          </m:e>
        </m:d>
      </m:oMath>
      <w:r w:rsidRPr="006A0175">
        <w:rPr>
          <w:rFonts w:ascii="Times New Roman" w:eastAsiaTheme="minorEastAsia" w:hAnsi="Times New Roman" w:cs="Times New Roman"/>
          <w:sz w:val="24"/>
          <w:szCs w:val="24"/>
          <w:lang w:val="es-CL"/>
        </w:rPr>
        <w:t>. Así existe una relación entre el precio del stock de capital y el valor descontado de todos los servicios futuros dados por los bienes de capital</w:t>
      </w:r>
    </w:p>
    <w:p w14:paraId="26ED26CB"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p>
    <w:p w14:paraId="72F5FAEE"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r w:rsidRPr="006A0175">
        <w:rPr>
          <w:rFonts w:ascii="Times New Roman" w:hAnsi="Times New Roman" w:cs="Times New Roman"/>
          <w:sz w:val="24"/>
          <w:szCs w:val="24"/>
        </w:rPr>
        <w:t xml:space="preserve">La empresa maximizará el valor presente de sus utilidades monetarias, descontadas a una tasa de interés, que por simplicidad asumimos como constante. </w:t>
      </w:r>
      <w:r w:rsidRPr="006A0175">
        <w:rPr>
          <w:rFonts w:ascii="Times New Roman" w:eastAsiaTheme="minorEastAsia" w:hAnsi="Times New Roman" w:cs="Times New Roman"/>
          <w:sz w:val="24"/>
          <w:szCs w:val="24"/>
          <w:lang w:val="es-CL"/>
        </w:rPr>
        <w:t>Hay, pues, una relación entre el precio de un nuevo bien de capital y el valor descontado de todos los futuros servicios recibidos por ese bien de capital, el cual está dado por:</w:t>
      </w:r>
    </w:p>
    <w:p w14:paraId="61A87DB6"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p>
    <w:p w14:paraId="17EB95B2" w14:textId="77777777" w:rsidR="00B64F73" w:rsidRPr="006A0175" w:rsidRDefault="00B64F73" w:rsidP="00B64F73">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q</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nary>
            <m:naryPr>
              <m:limLoc m:val="subSup"/>
              <m:ctrlPr>
                <w:rPr>
                  <w:rFonts w:ascii="Cambria Math" w:hAnsi="Cambria Math" w:cs="Times New Roman"/>
                  <w:i/>
                  <w:sz w:val="24"/>
                  <w:szCs w:val="24"/>
                </w:rPr>
              </m:ctrlPr>
            </m:naryPr>
            <m:sub>
              <m:r>
                <w:rPr>
                  <w:rFonts w:ascii="Cambria Math" w:hAnsi="Cambria Math" w:cs="Times New Roman"/>
                  <w:sz w:val="24"/>
                  <w:szCs w:val="24"/>
                </w:rPr>
                <m:t>t</m:t>
              </m:r>
            </m:sub>
            <m:sup>
              <m:r>
                <w:rPr>
                  <w:rFonts w:ascii="Cambria Math" w:hAnsi="Cambria Math" w:cs="Times New Roman"/>
                  <w:sz w:val="24"/>
                  <w:szCs w:val="24"/>
                </w:rPr>
                <m:t>∞</m:t>
              </m:r>
            </m:sup>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-r</m:t>
                  </m:r>
                  <m:d>
                    <m:dPr>
                      <m:ctrlPr>
                        <w:rPr>
                          <w:rFonts w:ascii="Cambria Math" w:hAnsi="Cambria Math" w:cs="Times New Roman"/>
                          <w:i/>
                          <w:sz w:val="24"/>
                          <w:szCs w:val="24"/>
                        </w:rPr>
                      </m:ctrlPr>
                    </m:dPr>
                    <m:e>
                      <m:r>
                        <w:rPr>
                          <w:rFonts w:ascii="Cambria Math" w:hAnsi="Cambria Math" w:cs="Times New Roman"/>
                          <w:sz w:val="24"/>
                          <w:szCs w:val="24"/>
                        </w:rPr>
                        <m:t>s-t</m:t>
                      </m:r>
                    </m:e>
                  </m:d>
                </m:sup>
              </m:sSup>
              <m:r>
                <w:rPr>
                  <w:rFonts w:ascii="Cambria Math" w:hAnsi="Cambria Math" w:cs="Times New Roman"/>
                  <w:sz w:val="24"/>
                  <w:szCs w:val="24"/>
                </w:rPr>
                <m:t xml:space="preserve"> c</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-δ(s-t)</m:t>
                  </m:r>
                </m:sup>
              </m:sSup>
              <m:r>
                <w:rPr>
                  <w:rFonts w:ascii="Cambria Math" w:hAnsi="Cambria Math" w:cs="Times New Roman"/>
                  <w:sz w:val="24"/>
                  <w:szCs w:val="24"/>
                </w:rPr>
                <m:t xml:space="preserve"> ds</m:t>
              </m:r>
            </m:e>
          </m:nary>
        </m:oMath>
      </m:oMathPara>
    </w:p>
    <w:p w14:paraId="43DA9AB1" w14:textId="77777777" w:rsidR="00B64F73" w:rsidRPr="006A0175" w:rsidRDefault="00B64F73" w:rsidP="00B64F73">
      <w:pPr>
        <w:spacing w:after="0" w:line="240" w:lineRule="auto"/>
        <w:jc w:val="both"/>
        <w:rPr>
          <w:rFonts w:ascii="Times New Roman" w:hAnsi="Times New Roman" w:cs="Times New Roman"/>
          <w:sz w:val="24"/>
          <w:szCs w:val="24"/>
          <w:lang w:val="es-CL"/>
        </w:rPr>
      </w:pPr>
    </w:p>
    <w:p w14:paraId="346D47A7"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r w:rsidRPr="006A0175">
        <w:rPr>
          <w:rFonts w:ascii="Times New Roman" w:hAnsi="Times New Roman" w:cs="Times New Roman"/>
          <w:sz w:val="24"/>
          <w:szCs w:val="24"/>
          <w:lang w:val="es-CL"/>
        </w:rPr>
        <w:t xml:space="preserve">Donde </w:t>
      </w:r>
      <m:oMath>
        <m:r>
          <w:rPr>
            <w:rFonts w:ascii="Cambria Math" w:hAnsi="Cambria Math" w:cs="Times New Roman"/>
            <w:sz w:val="24"/>
            <w:szCs w:val="24"/>
          </w:rPr>
          <m:t>q</m:t>
        </m:r>
      </m:oMath>
      <w:r w:rsidRPr="006A0175">
        <w:rPr>
          <w:rFonts w:ascii="Times New Roman" w:eastAsiaTheme="minorEastAsia" w:hAnsi="Times New Roman" w:cs="Times New Roman"/>
          <w:sz w:val="24"/>
          <w:szCs w:val="24"/>
          <w:lang w:val="es-CL"/>
        </w:rPr>
        <w:t xml:space="preserve"> es el precio de la inversión, </w:t>
      </w:r>
      <m:oMath>
        <m:r>
          <w:rPr>
            <w:rFonts w:ascii="Cambria Math" w:hAnsi="Cambria Math" w:cs="Times New Roman"/>
            <w:sz w:val="24"/>
            <w:szCs w:val="24"/>
          </w:rPr>
          <m:t>r</m:t>
        </m:r>
      </m:oMath>
      <w:r w:rsidRPr="006A0175">
        <w:rPr>
          <w:rFonts w:ascii="Times New Roman" w:eastAsiaTheme="minorEastAsia" w:hAnsi="Times New Roman" w:cs="Times New Roman"/>
          <w:sz w:val="24"/>
          <w:szCs w:val="24"/>
          <w:lang w:val="es-CL"/>
        </w:rPr>
        <w:t xml:space="preserve"> es la tasa interés, </w:t>
      </w:r>
      <m:oMath>
        <m:r>
          <w:rPr>
            <w:rFonts w:ascii="Cambria Math" w:eastAsiaTheme="minorEastAsia" w:hAnsi="Cambria Math" w:cs="Times New Roman"/>
            <w:sz w:val="24"/>
            <w:szCs w:val="24"/>
          </w:rPr>
          <m:t>s</m:t>
        </m:r>
      </m:oMath>
      <w:r w:rsidRPr="006A0175">
        <w:rPr>
          <w:rFonts w:ascii="Times New Roman" w:eastAsiaTheme="minorEastAsia" w:hAnsi="Times New Roman" w:cs="Times New Roman"/>
          <w:sz w:val="24"/>
          <w:szCs w:val="24"/>
          <w:lang w:val="es-CL"/>
        </w:rPr>
        <w:t xml:space="preserve">  es el momento en que se suministra el capital, </w:t>
      </w:r>
      <m:oMath>
        <m:r>
          <w:rPr>
            <w:rFonts w:ascii="Cambria Math" w:eastAsiaTheme="minorEastAsia" w:hAnsi="Cambria Math" w:cs="Times New Roman"/>
            <w:sz w:val="24"/>
            <w:szCs w:val="24"/>
          </w:rPr>
          <m:t>t</m:t>
        </m:r>
      </m:oMath>
      <w:r w:rsidRPr="006A0175">
        <w:rPr>
          <w:rFonts w:ascii="Times New Roman" w:eastAsiaTheme="minorEastAsia" w:hAnsi="Times New Roman" w:cs="Times New Roman"/>
          <w:sz w:val="24"/>
          <w:szCs w:val="24"/>
          <w:lang w:val="es-CL"/>
        </w:rPr>
        <w:t xml:space="preserve"> es el momento de la adquisición de los bienes de capital, </w:t>
      </w:r>
      <m:oMath>
        <m:r>
          <w:rPr>
            <w:rFonts w:ascii="Cambria Math" w:eastAsiaTheme="minorEastAsia" w:hAnsi="Cambria Math" w:cs="Times New Roman"/>
            <w:sz w:val="24"/>
            <w:szCs w:val="24"/>
          </w:rPr>
          <m:t>c</m:t>
        </m:r>
      </m:oMath>
      <w:r w:rsidRPr="006A0175">
        <w:rPr>
          <w:rFonts w:ascii="Times New Roman" w:eastAsiaTheme="minorEastAsia" w:hAnsi="Times New Roman" w:cs="Times New Roman"/>
          <w:sz w:val="24"/>
          <w:szCs w:val="24"/>
          <w:lang w:val="es-CL"/>
        </w:rPr>
        <w:t xml:space="preserve"> es el costo del capital y </w:t>
      </w:r>
      <m:oMath>
        <m:r>
          <w:rPr>
            <w:rFonts w:ascii="Cambria Math" w:eastAsiaTheme="minorEastAsia" w:hAnsi="Cambria Math" w:cs="Times New Roman"/>
            <w:sz w:val="24"/>
            <w:szCs w:val="24"/>
          </w:rPr>
          <m:t>δ</m:t>
        </m:r>
      </m:oMath>
      <w:r w:rsidRPr="006A0175">
        <w:rPr>
          <w:rFonts w:ascii="Times New Roman" w:eastAsiaTheme="minorEastAsia" w:hAnsi="Times New Roman" w:cs="Times New Roman"/>
          <w:sz w:val="24"/>
          <w:szCs w:val="24"/>
          <w:lang w:val="es-CL"/>
        </w:rPr>
        <w:t xml:space="preserve"> es la tasa de depreciación. </w:t>
      </w:r>
    </w:p>
    <w:p w14:paraId="5F6292DB" w14:textId="77777777" w:rsidR="00B64F73" w:rsidRPr="006A0175" w:rsidRDefault="00B64F73" w:rsidP="00B64F73">
      <w:pPr>
        <w:spacing w:after="0" w:line="240" w:lineRule="auto"/>
        <w:jc w:val="both"/>
        <w:rPr>
          <w:rFonts w:ascii="Times New Roman" w:eastAsiaTheme="minorEastAsia" w:hAnsi="Times New Roman" w:cs="Times New Roman"/>
          <w:sz w:val="24"/>
          <w:szCs w:val="24"/>
          <w:lang w:val="es-CL"/>
        </w:rPr>
      </w:pPr>
    </w:p>
    <w:p w14:paraId="63A8B672" w14:textId="12268FFC" w:rsidR="00B64F73" w:rsidRPr="006A0175" w:rsidRDefault="00B64F73" w:rsidP="00B64F73">
      <w:pPr>
        <w:spacing w:after="0" w:line="240" w:lineRule="auto"/>
        <w:jc w:val="both"/>
        <w:rPr>
          <w:rFonts w:ascii="Times New Roman" w:hAnsi="Times New Roman" w:cs="Times New Roman"/>
          <w:sz w:val="24"/>
          <w:szCs w:val="24"/>
        </w:rPr>
      </w:pPr>
      <w:r w:rsidRPr="006A0175">
        <w:rPr>
          <w:rFonts w:ascii="Times New Roman" w:eastAsiaTheme="minorEastAsia" w:hAnsi="Times New Roman" w:cs="Times New Roman"/>
          <w:sz w:val="24"/>
          <w:szCs w:val="24"/>
          <w:lang w:val="es-CL"/>
        </w:rPr>
        <w:t xml:space="preserve">El problema de maximización de la acumulación de capital óptimo que enfrenta la empresa representativa se resuelve en el punto en que la productividad marginal del capital es igual al costo expresado en unidades de producto. </w:t>
      </w:r>
      <w:r w:rsidR="00982AF1" w:rsidRPr="006A0175">
        <w:rPr>
          <w:rFonts w:ascii="Times New Roman" w:eastAsiaTheme="minorEastAsia" w:hAnsi="Times New Roman" w:cs="Times New Roman"/>
          <w:sz w:val="24"/>
          <w:szCs w:val="24"/>
          <w:lang w:val="es-CL"/>
        </w:rPr>
        <w:t>Es decir,</w:t>
      </w:r>
      <w:r w:rsidRPr="006A0175">
        <w:rPr>
          <w:rFonts w:ascii="Times New Roman" w:eastAsiaTheme="minorEastAsia" w:hAnsi="Times New Roman" w:cs="Times New Roman"/>
          <w:sz w:val="24"/>
          <w:szCs w:val="24"/>
          <w:lang w:val="es-CL"/>
        </w:rPr>
        <w:t xml:space="preserve"> l</w:t>
      </w:r>
      <w:r w:rsidRPr="006A0175">
        <w:rPr>
          <w:rFonts w:ascii="Times New Roman" w:hAnsi="Times New Roman" w:cs="Times New Roman"/>
          <w:sz w:val="24"/>
          <w:szCs w:val="24"/>
        </w:rPr>
        <w:t>as empresas acumularán capital hasta que su costo real de arriendo sea igual a la productividad marginal del capital. Matemáticamente</w:t>
      </w:r>
      <w:r w:rsidRPr="006A0175">
        <w:rPr>
          <w:rStyle w:val="Refdenotaalpie"/>
          <w:rFonts w:ascii="Times New Roman" w:hAnsi="Times New Roman" w:cs="Times New Roman"/>
          <w:sz w:val="24"/>
          <w:szCs w:val="24"/>
        </w:rPr>
        <w:footnoteReference w:id="11"/>
      </w:r>
      <w:r w:rsidRPr="006A0175">
        <w:rPr>
          <w:rFonts w:ascii="Times New Roman" w:hAnsi="Times New Roman" w:cs="Times New Roman"/>
          <w:sz w:val="24"/>
          <w:szCs w:val="24"/>
        </w:rPr>
        <w:t>:</w:t>
      </w:r>
    </w:p>
    <w:p w14:paraId="5A6C19EA" w14:textId="77777777" w:rsidR="00B64F73" w:rsidRPr="006A0175" w:rsidRDefault="00B64F73" w:rsidP="00B64F73">
      <w:pPr>
        <w:spacing w:after="0" w:line="240" w:lineRule="auto"/>
        <w:jc w:val="both"/>
        <w:rPr>
          <w:rFonts w:ascii="Times New Roman" w:hAnsi="Times New Roman" w:cs="Times New Roman"/>
          <w:sz w:val="24"/>
          <w:szCs w:val="24"/>
        </w:rPr>
      </w:pPr>
    </w:p>
    <w:p w14:paraId="002B126F" w14:textId="77777777" w:rsidR="00B64F73" w:rsidRPr="006A0175" w:rsidRDefault="00CE39D4" w:rsidP="00B64F73">
      <w:pPr>
        <w:jc w:val="both"/>
        <w:rPr>
          <w:rFonts w:ascii="Times New Roman" w:eastAsiaTheme="minorEastAsia" w:hAnsi="Times New Roman" w:cs="Times New Roman"/>
          <w:sz w:val="24"/>
          <w:szCs w:val="24"/>
          <w:lang w:val="en-US"/>
        </w:rPr>
      </w:pPr>
      <m:oMathPara>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q∙</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r+δ</m:t>
                  </m:r>
                </m:e>
              </m:d>
            </m:num>
            <m:den>
              <m:r>
                <w:rPr>
                  <w:rFonts w:ascii="Cambria Math" w:eastAsiaTheme="minorEastAsia" w:hAnsi="Cambria Math" w:cs="Times New Roman"/>
                  <w:sz w:val="24"/>
                  <w:szCs w:val="24"/>
                </w:rPr>
                <m:t>p</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p</m:t>
              </m:r>
            </m:den>
          </m:f>
        </m:oMath>
      </m:oMathPara>
    </w:p>
    <w:p w14:paraId="0F6ED96F" w14:textId="77777777" w:rsidR="00B64F73" w:rsidRPr="006A0175" w:rsidRDefault="00B64F73" w:rsidP="00B64F73">
      <w:pPr>
        <w:jc w:val="both"/>
        <w:rPr>
          <w:rFonts w:ascii="Times New Roman" w:eastAsiaTheme="minorEastAsia" w:hAnsi="Times New Roman" w:cs="Times New Roman"/>
          <w:sz w:val="24"/>
          <w:szCs w:val="24"/>
          <w:lang w:val="en-US"/>
        </w:rPr>
      </w:pPr>
      <m:oMathPara>
        <m:oMath>
          <m:r>
            <w:rPr>
              <w:rFonts w:ascii="Cambria Math" w:eastAsiaTheme="minorEastAsia" w:hAnsi="Cambria Math" w:cs="Times New Roman"/>
              <w:sz w:val="24"/>
              <w:szCs w:val="24"/>
            </w:rPr>
            <m:t>q∙</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r+δ</m:t>
              </m:r>
            </m:e>
          </m:d>
          <m:r>
            <w:rPr>
              <w:rFonts w:ascii="Cambria Math" w:eastAsiaTheme="minorEastAsia" w:hAnsi="Cambria Math" w:cs="Times New Roman"/>
              <w:sz w:val="24"/>
              <w:szCs w:val="24"/>
              <w:lang w:val="en-US"/>
            </w:rPr>
            <m:t>=c</m:t>
          </m:r>
        </m:oMath>
      </m:oMathPara>
    </w:p>
    <w:p w14:paraId="2A983824" w14:textId="4AECB4EE" w:rsidR="00B64F73" w:rsidRPr="006A0175" w:rsidRDefault="00B64F73" w:rsidP="00B64F73">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La ecuación superior expresa una relación entre el costo del capital </w:t>
      </w:r>
      <m:oMath>
        <m:r>
          <w:rPr>
            <w:rFonts w:ascii="Cambria Math" w:hAnsi="Cambria Math" w:cs="Times New Roman"/>
            <w:sz w:val="24"/>
            <w:szCs w:val="24"/>
          </w:rPr>
          <m:t>c</m:t>
        </m:r>
      </m:oMath>
      <w:r w:rsidRPr="006A0175">
        <w:rPr>
          <w:rFonts w:ascii="Times New Roman" w:eastAsiaTheme="minorEastAsia" w:hAnsi="Times New Roman" w:cs="Times New Roman"/>
          <w:sz w:val="24"/>
          <w:szCs w:val="24"/>
        </w:rPr>
        <w:t xml:space="preserve">, la tasa de interés </w:t>
      </w:r>
      <m:oMath>
        <m:r>
          <w:rPr>
            <w:rFonts w:ascii="Cambria Math" w:hAnsi="Cambria Math" w:cs="Times New Roman"/>
            <w:sz w:val="24"/>
            <w:szCs w:val="24"/>
          </w:rPr>
          <m:t>r</m:t>
        </m:r>
      </m:oMath>
      <w:r w:rsidRPr="006A0175">
        <w:rPr>
          <w:rFonts w:ascii="Times New Roman" w:eastAsiaTheme="minorEastAsia" w:hAnsi="Times New Roman" w:cs="Times New Roman"/>
          <w:sz w:val="24"/>
          <w:szCs w:val="24"/>
        </w:rPr>
        <w:t xml:space="preserve">, la tasa de depreciación </w:t>
      </w:r>
      <m:oMath>
        <m:r>
          <w:rPr>
            <w:rFonts w:ascii="Cambria Math" w:eastAsiaTheme="minorEastAsia" w:hAnsi="Cambria Math" w:cs="Times New Roman"/>
            <w:sz w:val="24"/>
            <w:szCs w:val="24"/>
          </w:rPr>
          <m:t>δ</m:t>
        </m:r>
      </m:oMath>
      <w:r w:rsidRPr="006A0175">
        <w:rPr>
          <w:rFonts w:ascii="Times New Roman" w:eastAsiaTheme="minorEastAsia" w:hAnsi="Times New Roman" w:cs="Times New Roman"/>
          <w:sz w:val="24"/>
          <w:szCs w:val="24"/>
        </w:rPr>
        <w:t xml:space="preserve"> y el precio de la inversión </w:t>
      </w:r>
      <m:oMath>
        <m:r>
          <w:rPr>
            <w:rFonts w:ascii="Cambria Math" w:eastAsiaTheme="minorEastAsia" w:hAnsi="Cambria Math" w:cs="Times New Roman"/>
            <w:sz w:val="24"/>
            <w:szCs w:val="24"/>
          </w:rPr>
          <m:t>q</m:t>
        </m:r>
      </m:oMath>
      <w:r w:rsidRPr="006A0175">
        <w:rPr>
          <w:rFonts w:ascii="Times New Roman" w:eastAsiaTheme="minorEastAsia" w:hAnsi="Times New Roman" w:cs="Times New Roman"/>
          <w:sz w:val="24"/>
          <w:szCs w:val="24"/>
        </w:rPr>
        <w:t>. Este costo es el que toman en consideración las firmas al momento de tomar decisi</w:t>
      </w:r>
      <w:proofErr w:type="spellStart"/>
      <w:r w:rsidRPr="006A0175">
        <w:rPr>
          <w:rFonts w:ascii="Times New Roman" w:eastAsiaTheme="minorEastAsia" w:hAnsi="Times New Roman" w:cs="Times New Roman"/>
          <w:sz w:val="24"/>
          <w:szCs w:val="24"/>
        </w:rPr>
        <w:t>ones</w:t>
      </w:r>
      <w:proofErr w:type="spellEnd"/>
      <w:r w:rsidRPr="006A0175">
        <w:rPr>
          <w:rFonts w:ascii="Times New Roman" w:eastAsiaTheme="minorEastAsia" w:hAnsi="Times New Roman" w:cs="Times New Roman"/>
          <w:sz w:val="24"/>
          <w:szCs w:val="24"/>
        </w:rPr>
        <w:t xml:space="preserve"> de inversión. </w:t>
      </w:r>
      <w:r w:rsidR="00982AF1" w:rsidRPr="006A0175">
        <w:rPr>
          <w:rFonts w:ascii="Times New Roman" w:eastAsiaTheme="minorEastAsia" w:hAnsi="Times New Roman" w:cs="Times New Roman"/>
          <w:sz w:val="24"/>
          <w:szCs w:val="24"/>
        </w:rPr>
        <w:t>Finalmente,</w:t>
      </w:r>
      <w:r w:rsidRPr="006A0175">
        <w:rPr>
          <w:rFonts w:ascii="Times New Roman" w:eastAsiaTheme="minorEastAsia" w:hAnsi="Times New Roman" w:cs="Times New Roman"/>
          <w:sz w:val="24"/>
          <w:szCs w:val="24"/>
        </w:rPr>
        <w:t xml:space="preserve"> toda política tributaria relativa a la acumulación de capital afectará este costo del capital y por lo tanto las decisiones de inversión de las firmas.</w:t>
      </w:r>
    </w:p>
    <w:p w14:paraId="5F14DC9A" w14:textId="7D07CFA4" w:rsidR="00674D0E" w:rsidRPr="00704E44" w:rsidRDefault="00B64F73" w:rsidP="005C0F1F">
      <w:pPr>
        <w:jc w:val="both"/>
        <w:rPr>
          <w:rFonts w:ascii="Times New Roman" w:eastAsiaTheme="minorEastAsia" w:hAnsi="Times New Roman" w:cs="Times New Roman"/>
          <w:sz w:val="24"/>
          <w:szCs w:val="24"/>
          <w:lang w:val="es-CL"/>
        </w:rPr>
      </w:pPr>
      <w:r w:rsidRPr="00704E44">
        <w:rPr>
          <w:rFonts w:ascii="Times New Roman" w:eastAsiaTheme="minorEastAsia" w:hAnsi="Times New Roman" w:cs="Times New Roman"/>
          <w:sz w:val="24"/>
          <w:szCs w:val="24"/>
          <w:lang w:val="es-CL"/>
        </w:rPr>
        <w:t>Haciendo una extensión del cuadro analítico anterior es posible estimar el costo del capital de conocimiento (I+D). Análogamente al modelo anterior el costo de la I+D está dado por la siguiente expresión:</w:t>
      </w:r>
    </w:p>
    <w:p w14:paraId="3DF75097" w14:textId="6491C9AC" w:rsidR="00B64F73" w:rsidRPr="006A0175" w:rsidRDefault="00CE39D4" w:rsidP="00674D0E">
      <w:pPr>
        <w:jc w:val="cente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lang w:val="en-US"/>
                </w:rPr>
              </m:ctrlPr>
            </m:sSubSupPr>
            <m:e>
              <m:r>
                <w:rPr>
                  <w:rFonts w:ascii="Cambria Math" w:hAnsi="Cambria Math" w:cs="Times New Roman"/>
                  <w:sz w:val="24"/>
                  <w:szCs w:val="24"/>
                </w:rPr>
                <m:t>u</m:t>
              </m:r>
            </m:e>
            <m:sub>
              <m:r>
                <w:rPr>
                  <w:rFonts w:ascii="Cambria Math" w:hAnsi="Cambria Math" w:cs="Times New Roman"/>
                  <w:sz w:val="24"/>
                  <w:szCs w:val="24"/>
                </w:rPr>
                <m:t>it</m:t>
              </m:r>
            </m:sub>
            <m:sup>
              <m:r>
                <w:rPr>
                  <w:rFonts w:ascii="Cambria Math" w:hAnsi="Cambria Math" w:cs="Times New Roman"/>
                  <w:sz w:val="24"/>
                  <w:szCs w:val="24"/>
                </w:rPr>
                <m:t>R</m:t>
              </m:r>
            </m:sup>
          </m:sSubSup>
          <m:r>
            <w:rPr>
              <w:rFonts w:ascii="Cambria Math" w:hAnsi="Cambria Math" w:cs="Times New Roman"/>
              <w:sz w:val="24"/>
              <w:szCs w:val="24"/>
            </w:rPr>
            <m:t>=</m:t>
          </m:r>
          <m:sSubSup>
            <m:sSubSupPr>
              <m:ctrlPr>
                <w:rPr>
                  <w:rFonts w:ascii="Cambria Math" w:hAnsi="Cambria Math" w:cs="Times New Roman"/>
                  <w:i/>
                  <w:sz w:val="24"/>
                  <w:szCs w:val="24"/>
                  <w:lang w:val="en-US"/>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R</m:t>
              </m:r>
            </m:sup>
          </m:sSub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rPr>
                    <m:t>r</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rPr>
                    <m:t>δ</m:t>
                  </m:r>
                </m:e>
                <m:sub>
                  <m:r>
                    <w:rPr>
                      <w:rFonts w:ascii="Cambria Math" w:hAnsi="Cambria Math" w:cs="Times New Roman"/>
                      <w:sz w:val="24"/>
                      <w:szCs w:val="24"/>
                    </w:rPr>
                    <m:t>t</m:t>
                  </m:r>
                </m:sub>
              </m:sSub>
            </m:e>
          </m:d>
          <m:sSub>
            <m:sSubPr>
              <m:ctrlPr>
                <w:rPr>
                  <w:rFonts w:ascii="Cambria Math" w:hAnsi="Cambria Math" w:cs="Times New Roman"/>
                  <w:i/>
                  <w:sz w:val="24"/>
                  <w:szCs w:val="24"/>
                  <w:lang w:val="en-US"/>
                </w:rPr>
              </m:ctrlPr>
            </m:sSubPr>
            <m:e>
              <m:r>
                <w:rPr>
                  <w:rFonts w:ascii="Cambria Math" w:hAnsi="Cambria Math" w:cs="Times New Roman"/>
                  <w:sz w:val="24"/>
                  <w:szCs w:val="24"/>
                </w:rPr>
                <m:t>B</m:t>
              </m:r>
            </m:e>
            <m:sub>
              <m:r>
                <w:rPr>
                  <w:rFonts w:ascii="Cambria Math" w:hAnsi="Cambria Math" w:cs="Times New Roman"/>
                  <w:sz w:val="24"/>
                  <w:szCs w:val="24"/>
                </w:rPr>
                <m:t>it</m:t>
              </m:r>
            </m:sub>
          </m:sSub>
        </m:oMath>
      </m:oMathPara>
    </w:p>
    <w:p w14:paraId="53DB8633" w14:textId="58FC39F0" w:rsidR="00B64F73" w:rsidRPr="006A0175" w:rsidRDefault="00B64F73" w:rsidP="00B64F73">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Donde </w:t>
      </w:r>
      <m:oMath>
        <m:r>
          <w:rPr>
            <w:rFonts w:ascii="Cambria Math" w:eastAsiaTheme="minorEastAsia" w:hAnsi="Cambria Math" w:cs="Times New Roman"/>
            <w:sz w:val="24"/>
            <w:szCs w:val="24"/>
          </w:rPr>
          <m:t>i</m:t>
        </m:r>
      </m:oMath>
      <w:r w:rsidRPr="006A0175">
        <w:rPr>
          <w:rFonts w:ascii="Times New Roman" w:eastAsiaTheme="minorEastAsia" w:hAnsi="Times New Roman" w:cs="Times New Roman"/>
          <w:sz w:val="24"/>
          <w:szCs w:val="24"/>
          <w:lang w:val="es-CL"/>
        </w:rPr>
        <w:t xml:space="preserve"> representa a la i-ésima firma y </w:t>
      </w:r>
      <m:oMath>
        <m:r>
          <w:rPr>
            <w:rFonts w:ascii="Cambria Math" w:eastAsiaTheme="minorEastAsia" w:hAnsi="Cambria Math" w:cs="Times New Roman"/>
            <w:sz w:val="24"/>
            <w:szCs w:val="24"/>
          </w:rPr>
          <m:t>t</m:t>
        </m:r>
      </m:oMath>
      <w:r w:rsidRPr="006A0175">
        <w:rPr>
          <w:rFonts w:ascii="Times New Roman" w:eastAsiaTheme="minorEastAsia" w:hAnsi="Times New Roman" w:cs="Times New Roman"/>
          <w:sz w:val="24"/>
          <w:szCs w:val="24"/>
          <w:lang w:val="es-CL"/>
        </w:rPr>
        <w:t xml:space="preserve"> denota el tiempo. La expresión </w:t>
      </w:r>
      <m:oMath>
        <m:sSubSup>
          <m:sSubSupPr>
            <m:ctrlPr>
              <w:rPr>
                <w:rFonts w:ascii="Cambria Math" w:hAnsi="Cambria Math" w:cs="Times New Roman"/>
                <w:i/>
                <w:sz w:val="24"/>
                <w:szCs w:val="24"/>
                <w:lang w:val="en-US"/>
              </w:rPr>
            </m:ctrlPr>
          </m:sSubSupPr>
          <m:e>
            <m:r>
              <w:rPr>
                <w:rFonts w:ascii="Cambria Math" w:hAnsi="Cambria Math" w:cs="Times New Roman"/>
                <w:sz w:val="24"/>
                <w:szCs w:val="24"/>
              </w:rPr>
              <m:t>u</m:t>
            </m:r>
          </m:e>
          <m:sub>
            <m:r>
              <w:rPr>
                <w:rFonts w:ascii="Cambria Math" w:hAnsi="Cambria Math" w:cs="Times New Roman"/>
                <w:sz w:val="24"/>
                <w:szCs w:val="24"/>
              </w:rPr>
              <m:t>it</m:t>
            </m:r>
          </m:sub>
          <m:sup>
            <m:r>
              <w:rPr>
                <w:rFonts w:ascii="Cambria Math" w:hAnsi="Cambria Math" w:cs="Times New Roman"/>
                <w:sz w:val="24"/>
                <w:szCs w:val="24"/>
              </w:rPr>
              <m:t>R</m:t>
            </m:r>
          </m:sup>
        </m:sSubSup>
      </m:oMath>
      <w:r w:rsidRPr="006A0175">
        <w:rPr>
          <w:rFonts w:ascii="Times New Roman" w:eastAsiaTheme="minorEastAsia" w:hAnsi="Times New Roman" w:cs="Times New Roman"/>
          <w:sz w:val="24"/>
          <w:szCs w:val="24"/>
          <w:lang w:val="es-CL"/>
        </w:rPr>
        <w:t xml:space="preserve"> representa el costo</w:t>
      </w:r>
      <w:r w:rsidR="00982AF1" w:rsidRPr="006A0175">
        <w:rPr>
          <w:rFonts w:ascii="Times New Roman" w:eastAsiaTheme="minorEastAsia" w:hAnsi="Times New Roman" w:cs="Times New Roman"/>
          <w:sz w:val="24"/>
          <w:szCs w:val="24"/>
          <w:lang w:val="es-CL"/>
        </w:rPr>
        <w:t xml:space="preserve"> marginal</w:t>
      </w:r>
      <w:r w:rsidRPr="006A0175">
        <w:rPr>
          <w:rFonts w:ascii="Times New Roman" w:eastAsiaTheme="minorEastAsia" w:hAnsi="Times New Roman" w:cs="Times New Roman"/>
          <w:sz w:val="24"/>
          <w:szCs w:val="24"/>
          <w:lang w:val="es-CL"/>
        </w:rPr>
        <w:t xml:space="preserve"> del capital de conocimiento, la cual aumenta únicamente el stock de capital </w:t>
      </w:r>
      <w:r w:rsidRPr="006A0175">
        <w:rPr>
          <w:rFonts w:ascii="Times New Roman" w:eastAsiaTheme="minorEastAsia" w:hAnsi="Times New Roman" w:cs="Times New Roman"/>
          <w:sz w:val="24"/>
          <w:szCs w:val="24"/>
          <w:lang w:val="es-CL"/>
        </w:rPr>
        <w:lastRenderedPageBreak/>
        <w:t xml:space="preserve">de conocimiento en un periodo, financiada por las utilidades retenidas. Además </w:t>
      </w:r>
      <m:oMath>
        <m:sSubSup>
          <m:sSubSupPr>
            <m:ctrlPr>
              <w:rPr>
                <w:rFonts w:ascii="Cambria Math" w:hAnsi="Cambria Math" w:cs="Times New Roman"/>
                <w:i/>
                <w:sz w:val="24"/>
                <w:szCs w:val="24"/>
                <w:lang w:val="en-US"/>
              </w:rPr>
            </m:ctrlPr>
          </m:sSubSupPr>
          <m:e>
            <m:r>
              <w:rPr>
                <w:rFonts w:ascii="Cambria Math" w:hAnsi="Cambria Math" w:cs="Times New Roman"/>
                <w:sz w:val="24"/>
                <w:szCs w:val="24"/>
              </w:rPr>
              <m:t>P</m:t>
            </m:r>
          </m:e>
          <m:sub>
            <m:r>
              <w:rPr>
                <w:rFonts w:ascii="Cambria Math" w:hAnsi="Cambria Math" w:cs="Times New Roman"/>
                <w:sz w:val="24"/>
                <w:szCs w:val="24"/>
              </w:rPr>
              <m:t>t</m:t>
            </m:r>
          </m:sub>
          <m:sup>
            <m:r>
              <w:rPr>
                <w:rFonts w:ascii="Cambria Math" w:hAnsi="Cambria Math" w:cs="Times New Roman"/>
                <w:sz w:val="24"/>
                <w:szCs w:val="24"/>
              </w:rPr>
              <m:t>R</m:t>
            </m:r>
          </m:sup>
        </m:sSubSup>
      </m:oMath>
      <w:r w:rsidRPr="006A0175">
        <w:rPr>
          <w:rFonts w:ascii="Times New Roman" w:eastAsiaTheme="minorEastAsia" w:hAnsi="Times New Roman" w:cs="Times New Roman"/>
          <w:sz w:val="24"/>
          <w:szCs w:val="24"/>
          <w:lang w:val="es-CL"/>
        </w:rPr>
        <w:t xml:space="preserve"> es el deflactor de la I+D, el cual corrige los aumentos de precios en los insumos de la I+D, </w:t>
      </w:r>
      <m:oMath>
        <m:sSub>
          <m:sSubPr>
            <m:ctrlPr>
              <w:rPr>
                <w:rFonts w:ascii="Cambria Math" w:hAnsi="Cambria Math" w:cs="Times New Roman"/>
                <w:i/>
                <w:sz w:val="24"/>
                <w:szCs w:val="24"/>
                <w:lang w:val="en-US"/>
              </w:rPr>
            </m:ctrlPr>
          </m:sSubPr>
          <m:e>
            <m:r>
              <w:rPr>
                <w:rFonts w:ascii="Cambria Math" w:hAnsi="Cambria Math" w:cs="Times New Roman"/>
                <w:sz w:val="24"/>
                <w:szCs w:val="24"/>
              </w:rPr>
              <m:t>r</m:t>
            </m:r>
          </m:e>
          <m:sub>
            <m:r>
              <w:rPr>
                <w:rFonts w:ascii="Cambria Math" w:hAnsi="Cambria Math" w:cs="Times New Roman"/>
                <w:sz w:val="24"/>
                <w:szCs w:val="24"/>
              </w:rPr>
              <m:t>t</m:t>
            </m:r>
          </m:sub>
        </m:sSub>
      </m:oMath>
      <w:r w:rsidRPr="006A0175">
        <w:rPr>
          <w:rFonts w:ascii="Times New Roman" w:eastAsiaTheme="minorEastAsia" w:hAnsi="Times New Roman" w:cs="Times New Roman"/>
          <w:sz w:val="24"/>
          <w:szCs w:val="24"/>
          <w:lang w:val="es-CL"/>
        </w:rPr>
        <w:t xml:space="preserve"> es la tasa de interés real, </w:t>
      </w:r>
      <m:oMath>
        <m:sSub>
          <m:sSubPr>
            <m:ctrlPr>
              <w:rPr>
                <w:rFonts w:ascii="Cambria Math" w:hAnsi="Cambria Math" w:cs="Times New Roman"/>
                <w:i/>
                <w:sz w:val="24"/>
                <w:szCs w:val="24"/>
                <w:lang w:val="en-US"/>
              </w:rPr>
            </m:ctrlPr>
          </m:sSubPr>
          <m:e>
            <m:r>
              <w:rPr>
                <w:rFonts w:ascii="Cambria Math" w:hAnsi="Cambria Math" w:cs="Times New Roman"/>
                <w:sz w:val="24"/>
                <w:szCs w:val="24"/>
              </w:rPr>
              <m:t>δ</m:t>
            </m:r>
          </m:e>
          <m:sub>
            <m:r>
              <w:rPr>
                <w:rFonts w:ascii="Cambria Math" w:hAnsi="Cambria Math" w:cs="Times New Roman"/>
                <w:sz w:val="24"/>
                <w:szCs w:val="24"/>
              </w:rPr>
              <m:t>t</m:t>
            </m:r>
          </m:sub>
        </m:sSub>
      </m:oMath>
      <w:r w:rsidRPr="006A0175">
        <w:rPr>
          <w:rFonts w:ascii="Times New Roman" w:eastAsiaTheme="minorEastAsia" w:hAnsi="Times New Roman" w:cs="Times New Roman"/>
          <w:sz w:val="24"/>
          <w:szCs w:val="24"/>
          <w:lang w:val="es-CL"/>
        </w:rPr>
        <w:t xml:space="preserve"> es la tasa de depreciación del stock de conocimiento y </w:t>
      </w:r>
      <m:oMath>
        <m:sSub>
          <m:sSubPr>
            <m:ctrlPr>
              <w:rPr>
                <w:rFonts w:ascii="Cambria Math" w:hAnsi="Cambria Math" w:cs="Times New Roman"/>
                <w:i/>
                <w:sz w:val="24"/>
                <w:szCs w:val="24"/>
                <w:lang w:val="en-US"/>
              </w:rPr>
            </m:ctrlPr>
          </m:sSubPr>
          <m:e>
            <m:r>
              <w:rPr>
                <w:rFonts w:ascii="Cambria Math" w:hAnsi="Cambria Math" w:cs="Times New Roman"/>
                <w:sz w:val="24"/>
                <w:szCs w:val="24"/>
              </w:rPr>
              <m:t>B</m:t>
            </m:r>
          </m:e>
          <m:sub>
            <m:r>
              <w:rPr>
                <w:rFonts w:ascii="Cambria Math" w:hAnsi="Cambria Math" w:cs="Times New Roman"/>
                <w:sz w:val="24"/>
                <w:szCs w:val="24"/>
              </w:rPr>
              <m:t>it</m:t>
            </m:r>
          </m:sub>
        </m:sSub>
      </m:oMath>
      <w:r w:rsidRPr="006A0175">
        <w:rPr>
          <w:rFonts w:ascii="Times New Roman" w:eastAsiaTheme="minorEastAsia" w:hAnsi="Times New Roman" w:cs="Times New Roman"/>
          <w:sz w:val="24"/>
          <w:szCs w:val="24"/>
          <w:lang w:val="es-CL"/>
        </w:rPr>
        <w:t xml:space="preserve"> es el B-Index. </w:t>
      </w:r>
    </w:p>
    <w:p w14:paraId="27B82819" w14:textId="77777777" w:rsidR="00B64F73" w:rsidRPr="006A0175" w:rsidRDefault="00B64F73" w:rsidP="00B64F73">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Este índice mide la relación entre el costo neto de cada peso invertido en I+D después del incentivo tributario representado por </w:t>
      </w:r>
      <m:oMath>
        <m:r>
          <w:rPr>
            <w:rFonts w:ascii="Cambria Math" w:eastAsiaTheme="minorEastAsia" w:hAnsi="Cambria Math" w:cs="Times New Roman"/>
            <w:sz w:val="24"/>
            <w:szCs w:val="24"/>
            <w:lang w:val="es-CL"/>
          </w:rPr>
          <m:t>(1-</m:t>
        </m:r>
        <m:r>
          <w:rPr>
            <w:rFonts w:ascii="Cambria Math" w:eastAsiaTheme="minorEastAsia" w:hAnsi="Cambria Math" w:cs="Times New Roman"/>
            <w:sz w:val="24"/>
            <w:szCs w:val="24"/>
          </w:rPr>
          <m:t>A</m:t>
        </m:r>
        <m:r>
          <w:rPr>
            <w:rFonts w:ascii="Cambria Math" w:eastAsiaTheme="minorEastAsia" w:hAnsi="Cambria Math" w:cs="Times New Roman"/>
            <w:sz w:val="24"/>
            <w:szCs w:val="24"/>
            <w:lang w:val="es-CL"/>
          </w:rPr>
          <m:t>)</m:t>
        </m:r>
      </m:oMath>
      <w:r w:rsidRPr="006A0175">
        <w:rPr>
          <w:rFonts w:ascii="Times New Roman" w:eastAsiaTheme="minorEastAsia" w:hAnsi="Times New Roman" w:cs="Times New Roman"/>
          <w:sz w:val="24"/>
          <w:szCs w:val="24"/>
          <w:lang w:val="es-CL"/>
        </w:rPr>
        <w:t xml:space="preserve">, sobre el ingreso neto (luego del impuesto de primera categoría) de cada peso ganado equivalente a </w:t>
      </w:r>
      <m:oMath>
        <m:r>
          <w:rPr>
            <w:rFonts w:ascii="Cambria Math" w:eastAsiaTheme="minorEastAsia" w:hAnsi="Cambria Math" w:cs="Times New Roman"/>
            <w:sz w:val="24"/>
            <w:szCs w:val="24"/>
            <w:lang w:val="es-CL"/>
          </w:rPr>
          <m:t>(1-</m:t>
        </m:r>
        <m:r>
          <w:rPr>
            <w:rFonts w:ascii="Cambria Math" w:eastAsiaTheme="minorEastAsia" w:hAnsi="Cambria Math" w:cs="Times New Roman"/>
            <w:sz w:val="24"/>
            <w:szCs w:val="24"/>
          </w:rPr>
          <m:t>τ</m:t>
        </m:r>
        <m:r>
          <w:rPr>
            <w:rFonts w:ascii="Cambria Math" w:eastAsiaTheme="minorEastAsia" w:hAnsi="Cambria Math" w:cs="Times New Roman"/>
            <w:sz w:val="24"/>
            <w:szCs w:val="24"/>
            <w:lang w:val="es-CL"/>
          </w:rPr>
          <m:t>)</m:t>
        </m:r>
      </m:oMath>
      <w:r w:rsidRPr="006A0175">
        <w:rPr>
          <w:rFonts w:ascii="Times New Roman" w:eastAsiaTheme="minorEastAsia" w:hAnsi="Times New Roman" w:cs="Times New Roman"/>
          <w:sz w:val="24"/>
          <w:szCs w:val="24"/>
          <w:lang w:val="es-CL"/>
        </w:rPr>
        <w:t>. El primer paso para calcular el B-Index es determinar el valor presente de cada peso gastado en I+D después de impuestos. Luego se determina el valor presente del ingreso antes de impuestos requerido para cubrir el valor presente de cada peso gastado en I+D y los impuestos correspondientes (impuesto a las empresas). Matemáticamente el B-</w:t>
      </w:r>
      <w:proofErr w:type="spellStart"/>
      <w:r w:rsidRPr="006A0175">
        <w:rPr>
          <w:rFonts w:ascii="Times New Roman" w:eastAsiaTheme="minorEastAsia" w:hAnsi="Times New Roman" w:cs="Times New Roman"/>
          <w:sz w:val="24"/>
          <w:szCs w:val="24"/>
          <w:lang w:val="es-CL"/>
        </w:rPr>
        <w:t>Index</w:t>
      </w:r>
      <w:proofErr w:type="spellEnd"/>
      <w:r w:rsidRPr="006A0175">
        <w:rPr>
          <w:rFonts w:ascii="Times New Roman" w:eastAsiaTheme="minorEastAsia" w:hAnsi="Times New Roman" w:cs="Times New Roman"/>
          <w:sz w:val="24"/>
          <w:szCs w:val="24"/>
          <w:lang w:val="es-CL"/>
        </w:rPr>
        <w:t xml:space="preserve"> se expresa de la siguiente forma:</w:t>
      </w:r>
    </w:p>
    <w:p w14:paraId="5EE70B31" w14:textId="77777777" w:rsidR="00B64F73" w:rsidRPr="006A0175" w:rsidRDefault="00CE39D4" w:rsidP="00B64F73">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(1-A)</m:t>
              </m:r>
            </m:num>
            <m:den>
              <m:r>
                <w:rPr>
                  <w:rFonts w:ascii="Cambria Math" w:eastAsiaTheme="minorEastAsia" w:hAnsi="Cambria Math" w:cs="Times New Roman"/>
                  <w:sz w:val="24"/>
                  <w:szCs w:val="24"/>
                </w:rPr>
                <m:t>(1-τ)</m:t>
              </m:r>
            </m:den>
          </m:f>
        </m:oMath>
      </m:oMathPara>
    </w:p>
    <w:p w14:paraId="60A534E9" w14:textId="77777777" w:rsidR="00B64F73" w:rsidRPr="006A0175" w:rsidRDefault="00B64F73" w:rsidP="00B64F73">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Donde </w:t>
      </w:r>
      <m:oMath>
        <m:r>
          <w:rPr>
            <w:rFonts w:ascii="Cambria Math" w:eastAsiaTheme="minorEastAsia" w:hAnsi="Cambria Math" w:cs="Times New Roman"/>
            <w:sz w:val="24"/>
            <w:szCs w:val="24"/>
            <w:lang w:val="es-CL"/>
          </w:rPr>
          <m:t>A</m:t>
        </m:r>
      </m:oMath>
      <w:r w:rsidRPr="006A0175">
        <w:rPr>
          <w:rFonts w:ascii="Times New Roman" w:eastAsiaTheme="minorEastAsia" w:hAnsi="Times New Roman" w:cs="Times New Roman"/>
          <w:sz w:val="24"/>
          <w:szCs w:val="24"/>
          <w:lang w:val="es-CL"/>
        </w:rPr>
        <w:t xml:space="preserve"> incluye todas las regalías tributarias que una firma puede descontar debido a la inversión en I+D. Eso quiere decir que </w:t>
      </w:r>
      <m:oMath>
        <m:r>
          <w:rPr>
            <w:rFonts w:ascii="Cambria Math" w:eastAsiaTheme="minorEastAsia" w:hAnsi="Cambria Math" w:cs="Times New Roman"/>
            <w:sz w:val="24"/>
            <w:szCs w:val="24"/>
            <w:lang w:val="es-CL"/>
          </w:rPr>
          <m:t>A</m:t>
        </m:r>
      </m:oMath>
      <w:r w:rsidRPr="006A0175">
        <w:rPr>
          <w:rFonts w:ascii="Times New Roman" w:eastAsiaTheme="minorEastAsia" w:hAnsi="Times New Roman" w:cs="Times New Roman"/>
          <w:sz w:val="24"/>
          <w:szCs w:val="24"/>
          <w:lang w:val="es-CL"/>
        </w:rPr>
        <w:t xml:space="preserve"> captura el valor de la deducción de impuestos además del crédito tributario en relación a la I+D, en otras palabras, es el valor presente de los gastos </w:t>
      </w:r>
      <w:r w:rsidRPr="006A0175">
        <w:rPr>
          <w:rFonts w:ascii="Times New Roman" w:hAnsi="Times New Roman" w:cs="Times New Roman"/>
          <w:sz w:val="24"/>
          <w:szCs w:val="24"/>
          <w:lang w:val="es-CL"/>
        </w:rPr>
        <w:t>deducibles de I+D por la tasa de impuesto a las empresas (</w:t>
      </w:r>
      <m:oMath>
        <m:r>
          <w:rPr>
            <w:rFonts w:ascii="Cambria Math" w:eastAsiaTheme="minorEastAsia" w:hAnsi="Cambria Math" w:cs="Times New Roman"/>
            <w:sz w:val="24"/>
            <w:szCs w:val="24"/>
          </w:rPr>
          <m:t>τ</m:t>
        </m:r>
      </m:oMath>
      <w:r w:rsidRPr="006A0175">
        <w:rPr>
          <w:rFonts w:ascii="Times New Roman" w:hAnsi="Times New Roman" w:cs="Times New Roman"/>
          <w:sz w:val="24"/>
          <w:szCs w:val="24"/>
          <w:lang w:val="es-CL"/>
        </w:rPr>
        <w:t>).</w:t>
      </w:r>
    </w:p>
    <w:p w14:paraId="4A912A5C" w14:textId="0AA95142" w:rsidR="00B64F73" w:rsidRPr="006A0175" w:rsidRDefault="00B64F73" w:rsidP="00B64F73">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En un mundo sin impuestos (</w:t>
      </w:r>
      <m:oMath>
        <m:r>
          <w:rPr>
            <w:rFonts w:ascii="Cambria Math" w:eastAsiaTheme="minorEastAsia" w:hAnsi="Cambria Math" w:cs="Times New Roman"/>
            <w:sz w:val="24"/>
            <w:szCs w:val="24"/>
          </w:rPr>
          <m:t>τ=0</m:t>
        </m:r>
      </m:oMath>
      <w:r w:rsidRPr="006A0175">
        <w:rPr>
          <w:rFonts w:ascii="Times New Roman" w:eastAsiaTheme="minorEastAsia" w:hAnsi="Times New Roman" w:cs="Times New Roman"/>
          <w:sz w:val="24"/>
          <w:szCs w:val="24"/>
          <w:lang w:val="es-CL"/>
        </w:rPr>
        <w:t>), el valor d</w:t>
      </w:r>
      <w:r w:rsidR="006A0175" w:rsidRPr="006A0175">
        <w:rPr>
          <w:rFonts w:ascii="Times New Roman" w:eastAsiaTheme="minorEastAsia" w:hAnsi="Times New Roman" w:cs="Times New Roman"/>
          <w:sz w:val="24"/>
          <w:szCs w:val="24"/>
          <w:lang w:val="es-CL"/>
        </w:rPr>
        <w:t>el B-</w:t>
      </w:r>
      <w:proofErr w:type="spellStart"/>
      <w:r w:rsidR="006A0175" w:rsidRPr="006A0175">
        <w:rPr>
          <w:rFonts w:ascii="Times New Roman" w:eastAsiaTheme="minorEastAsia" w:hAnsi="Times New Roman" w:cs="Times New Roman"/>
          <w:sz w:val="24"/>
          <w:szCs w:val="24"/>
          <w:lang w:val="es-CL"/>
        </w:rPr>
        <w:t>Index</w:t>
      </w:r>
      <w:proofErr w:type="spellEnd"/>
      <w:r w:rsidR="006A0175" w:rsidRPr="006A0175">
        <w:rPr>
          <w:rFonts w:ascii="Times New Roman" w:eastAsiaTheme="minorEastAsia" w:hAnsi="Times New Roman" w:cs="Times New Roman"/>
          <w:sz w:val="24"/>
          <w:szCs w:val="24"/>
          <w:lang w:val="es-CL"/>
        </w:rPr>
        <w:t xml:space="preserve"> sería 1, indicando que la decisión de invertir en I+D no está relacionada con la tasa impositiva vigente. Ahora bien, en</w:t>
      </w:r>
      <w:r w:rsidRPr="006A0175">
        <w:rPr>
          <w:rFonts w:ascii="Times New Roman" w:eastAsiaTheme="minorEastAsia" w:hAnsi="Times New Roman" w:cs="Times New Roman"/>
          <w:sz w:val="24"/>
          <w:szCs w:val="24"/>
          <w:lang w:val="es-CL"/>
        </w:rPr>
        <w:t xml:space="preserve"> un esc</w:t>
      </w:r>
      <w:r w:rsidR="006A0175" w:rsidRPr="006A0175">
        <w:rPr>
          <w:rFonts w:ascii="Times New Roman" w:eastAsiaTheme="minorEastAsia" w:hAnsi="Times New Roman" w:cs="Times New Roman"/>
          <w:sz w:val="24"/>
          <w:szCs w:val="24"/>
          <w:lang w:val="es-CL"/>
        </w:rPr>
        <w:t xml:space="preserve">enario donde existen impuestos, </w:t>
      </w:r>
      <w:r w:rsidRPr="006A0175">
        <w:rPr>
          <w:rFonts w:ascii="Times New Roman" w:eastAsiaTheme="minorEastAsia" w:hAnsi="Times New Roman" w:cs="Times New Roman"/>
          <w:sz w:val="24"/>
          <w:szCs w:val="24"/>
          <w:lang w:val="es-CL"/>
        </w:rPr>
        <w:t>el B-</w:t>
      </w:r>
      <w:proofErr w:type="spellStart"/>
      <w:r w:rsidRPr="006A0175">
        <w:rPr>
          <w:rFonts w:ascii="Times New Roman" w:eastAsiaTheme="minorEastAsia" w:hAnsi="Times New Roman" w:cs="Times New Roman"/>
          <w:sz w:val="24"/>
          <w:szCs w:val="24"/>
          <w:lang w:val="es-CL"/>
        </w:rPr>
        <w:t>Index</w:t>
      </w:r>
      <w:proofErr w:type="spellEnd"/>
      <w:r w:rsidRPr="006A0175">
        <w:rPr>
          <w:rFonts w:ascii="Times New Roman" w:eastAsiaTheme="minorEastAsia" w:hAnsi="Times New Roman" w:cs="Times New Roman"/>
          <w:sz w:val="24"/>
          <w:szCs w:val="24"/>
          <w:lang w:val="es-CL"/>
        </w:rPr>
        <w:t xml:space="preserve"> todavía puede ser 1, asumiendo la condición de que la inversión en I+D sea totalmente deducible en un periodo y los impuestos tengan la misma tasa. </w:t>
      </w:r>
      <w:r w:rsidR="006A0175" w:rsidRPr="006A0175">
        <w:rPr>
          <w:rFonts w:ascii="Times New Roman" w:eastAsiaTheme="minorEastAsia" w:hAnsi="Times New Roman" w:cs="Times New Roman"/>
          <w:sz w:val="24"/>
          <w:szCs w:val="24"/>
          <w:lang w:val="es-CL"/>
        </w:rPr>
        <w:t>En dicho caso el impuesto establecido por el Estado es completamente anulado por el incentivo tributario, por lo que la decisión de inversión en I+D vendrá dada por los beneficios para la firma producidas por la inversión.</w:t>
      </w:r>
    </w:p>
    <w:p w14:paraId="6D815C1A" w14:textId="77777777" w:rsidR="00F247EF" w:rsidRDefault="0082351B" w:rsidP="006A0175">
      <w:pPr>
        <w:jc w:val="both"/>
        <w:rPr>
          <w:rFonts w:ascii="Times New Roman" w:hAnsi="Times New Roman" w:cs="Times New Roman"/>
          <w:sz w:val="24"/>
          <w:szCs w:val="24"/>
          <w:lang w:val="es-CL"/>
        </w:rPr>
      </w:pPr>
      <w:r w:rsidRPr="006A0175">
        <w:rPr>
          <w:rFonts w:ascii="Times New Roman" w:hAnsi="Times New Roman" w:cs="Times New Roman"/>
          <w:sz w:val="24"/>
          <w:szCs w:val="24"/>
          <w:lang w:val="es-CL"/>
        </w:rPr>
        <w:t>Intuitivamente el B-</w:t>
      </w:r>
      <w:proofErr w:type="spellStart"/>
      <w:r w:rsidRPr="006A0175">
        <w:rPr>
          <w:rFonts w:ascii="Times New Roman" w:hAnsi="Times New Roman" w:cs="Times New Roman"/>
          <w:sz w:val="24"/>
          <w:szCs w:val="24"/>
          <w:lang w:val="es-CL"/>
        </w:rPr>
        <w:t>Index</w:t>
      </w:r>
      <w:proofErr w:type="spellEnd"/>
      <w:r w:rsidRPr="006A0175">
        <w:rPr>
          <w:rFonts w:ascii="Times New Roman" w:hAnsi="Times New Roman" w:cs="Times New Roman"/>
          <w:sz w:val="24"/>
          <w:szCs w:val="24"/>
          <w:lang w:val="es-CL"/>
        </w:rPr>
        <w:t xml:space="preserve"> compara la desgravación fiscal del gasto en I+D (el costo efectivo para la firma representativa de cada peso gastado en I+D) con el ingreso después de impuestos capturado por </w:t>
      </w:r>
      <m:oMath>
        <m:r>
          <w:rPr>
            <w:rFonts w:ascii="Cambria Math" w:eastAsiaTheme="minorEastAsia" w:hAnsi="Cambria Math" w:cs="Times New Roman"/>
            <w:sz w:val="24"/>
            <w:szCs w:val="24"/>
            <w:lang w:val="es-CL"/>
          </w:rPr>
          <m:t>(1-</m:t>
        </m:r>
        <m:r>
          <w:rPr>
            <w:rFonts w:ascii="Cambria Math" w:eastAsiaTheme="minorEastAsia" w:hAnsi="Cambria Math" w:cs="Times New Roman"/>
            <w:sz w:val="24"/>
            <w:szCs w:val="24"/>
          </w:rPr>
          <m:t>τ</m:t>
        </m:r>
        <m:r>
          <w:rPr>
            <w:rFonts w:ascii="Cambria Math" w:eastAsiaTheme="minorEastAsia" w:hAnsi="Cambria Math" w:cs="Times New Roman"/>
            <w:sz w:val="24"/>
            <w:szCs w:val="24"/>
            <w:lang w:val="es-CL"/>
          </w:rPr>
          <m:t>)</m:t>
        </m:r>
      </m:oMath>
      <w:r w:rsidRPr="006A0175">
        <w:rPr>
          <w:rFonts w:ascii="Times New Roman" w:eastAsiaTheme="minorEastAsia" w:hAnsi="Times New Roman" w:cs="Times New Roman"/>
          <w:sz w:val="24"/>
          <w:szCs w:val="24"/>
          <w:lang w:val="es-CL"/>
        </w:rPr>
        <w:t xml:space="preserve">. </w:t>
      </w:r>
      <w:r w:rsidRPr="006A0175">
        <w:rPr>
          <w:rFonts w:ascii="Times New Roman" w:hAnsi="Times New Roman" w:cs="Times New Roman"/>
          <w:sz w:val="24"/>
          <w:szCs w:val="24"/>
          <w:lang w:val="es-CL"/>
        </w:rPr>
        <w:t xml:space="preserve">En otras palabras, se compara el costo efectivo de cada peso gastado en I+D, con los ingresos después de impuestos que esta inversión en I+D genera. </w:t>
      </w:r>
    </w:p>
    <w:p w14:paraId="4EB5278F" w14:textId="3EEE7985" w:rsidR="0082351B" w:rsidRPr="006A0175" w:rsidRDefault="00F247EF" w:rsidP="006A0175">
      <w:pPr>
        <w:jc w:val="both"/>
        <w:rPr>
          <w:rFonts w:ascii="Times New Roman" w:eastAsia="Calibri" w:hAnsi="Times New Roman" w:cs="Times New Roman"/>
          <w:sz w:val="24"/>
          <w:szCs w:val="24"/>
          <w:u w:val="single"/>
          <w:lang w:val="es-CL"/>
        </w:rPr>
      </w:pPr>
      <w:r>
        <w:rPr>
          <w:rFonts w:ascii="Times New Roman" w:hAnsi="Times New Roman" w:cs="Times New Roman"/>
          <w:sz w:val="24"/>
          <w:szCs w:val="24"/>
          <w:lang w:val="es-CL"/>
        </w:rPr>
        <w:t>Entonces,</w:t>
      </w:r>
      <w:r w:rsidR="0082351B" w:rsidRPr="006A0175">
        <w:rPr>
          <w:rFonts w:ascii="Times New Roman" w:hAnsi="Times New Roman" w:cs="Times New Roman"/>
          <w:sz w:val="24"/>
          <w:szCs w:val="24"/>
          <w:lang w:val="es-CL"/>
        </w:rPr>
        <w:t xml:space="preserve"> si las utilidades netas son más bajas que el costo efectivo de la I+D, no existen los incentivos para que la empresa invierta en I+D. Análogamente, si la empresa se beneficia sobre los costos en I+D, entonces es atractivo invertir en I+D. Esta es la razón por la cual el B-</w:t>
      </w:r>
      <w:proofErr w:type="spellStart"/>
      <w:r w:rsidR="0082351B" w:rsidRPr="006A0175">
        <w:rPr>
          <w:rFonts w:ascii="Times New Roman" w:hAnsi="Times New Roman" w:cs="Times New Roman"/>
          <w:sz w:val="24"/>
          <w:szCs w:val="24"/>
          <w:lang w:val="es-CL"/>
        </w:rPr>
        <w:t>Index</w:t>
      </w:r>
      <w:proofErr w:type="spellEnd"/>
      <w:r w:rsidR="0082351B" w:rsidRPr="006A0175">
        <w:rPr>
          <w:rFonts w:ascii="Times New Roman" w:hAnsi="Times New Roman" w:cs="Times New Roman"/>
          <w:sz w:val="24"/>
          <w:szCs w:val="24"/>
          <w:lang w:val="es-CL"/>
        </w:rPr>
        <w:t xml:space="preserve"> se considera como una medida de la “generosidad” de la desgravación tributaria, y se puede comparar entre países. En la medida que el índice sea más bajo, mayores serán los beneficios tributarios de las empresas para invertir en I+D. Finalmente el B-</w:t>
      </w:r>
      <w:proofErr w:type="spellStart"/>
      <w:r w:rsidR="0082351B" w:rsidRPr="006A0175">
        <w:rPr>
          <w:rFonts w:ascii="Times New Roman" w:hAnsi="Times New Roman" w:cs="Times New Roman"/>
          <w:sz w:val="24"/>
          <w:szCs w:val="24"/>
          <w:lang w:val="es-CL"/>
        </w:rPr>
        <w:t>Index</w:t>
      </w:r>
      <w:proofErr w:type="spellEnd"/>
      <w:r w:rsidR="0082351B" w:rsidRPr="006A0175">
        <w:rPr>
          <w:rFonts w:ascii="Times New Roman" w:hAnsi="Times New Roman" w:cs="Times New Roman"/>
          <w:sz w:val="24"/>
          <w:szCs w:val="24"/>
          <w:lang w:val="es-CL"/>
        </w:rPr>
        <w:t xml:space="preserve"> dependerá de los parámetros locales de los incentivos del esquema tributario.</w:t>
      </w:r>
      <w:bookmarkStart w:id="12" w:name="_Toc365282945"/>
      <w:bookmarkEnd w:id="9"/>
    </w:p>
    <w:p w14:paraId="5C0A0B96" w14:textId="11A628BF" w:rsidR="00C24072" w:rsidRPr="00C72D84" w:rsidRDefault="00F94BD5" w:rsidP="00FC686F">
      <w:pPr>
        <w:pStyle w:val="Ttulo2"/>
        <w:numPr>
          <w:ilvl w:val="0"/>
          <w:numId w:val="8"/>
        </w:numPr>
      </w:pPr>
      <w:bookmarkStart w:id="13" w:name="_Toc470081855"/>
      <w:r w:rsidRPr="00C72D84">
        <w:t>Modelo empírico</w:t>
      </w:r>
      <w:bookmarkEnd w:id="12"/>
      <w:bookmarkEnd w:id="13"/>
      <w:r w:rsidR="003C1C6C" w:rsidRPr="00C72D84">
        <w:t xml:space="preserve"> </w:t>
      </w:r>
    </w:p>
    <w:p w14:paraId="047AC9F3" w14:textId="1C89B972" w:rsidR="00355C96" w:rsidRDefault="006A0175" w:rsidP="00132C27">
      <w:pPr>
        <w:jc w:val="both"/>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lastRenderedPageBreak/>
        <w:t>Las modificaciones que tuvo</w:t>
      </w:r>
      <w:r w:rsidR="00A141C7">
        <w:rPr>
          <w:rFonts w:ascii="Times New Roman" w:eastAsiaTheme="minorEastAsia" w:hAnsi="Times New Roman" w:cs="Times New Roman"/>
          <w:sz w:val="24"/>
          <w:szCs w:val="24"/>
          <w:lang w:val="es-CL"/>
        </w:rPr>
        <w:t xml:space="preserve"> la Ley de Incentivo T</w:t>
      </w:r>
      <w:r w:rsidR="008B4032" w:rsidRPr="006A0175">
        <w:rPr>
          <w:rFonts w:ascii="Times New Roman" w:eastAsiaTheme="minorEastAsia" w:hAnsi="Times New Roman" w:cs="Times New Roman"/>
          <w:sz w:val="24"/>
          <w:szCs w:val="24"/>
          <w:lang w:val="es-CL"/>
        </w:rPr>
        <w:t>ributario en el año 2012 (Ley 20.570</w:t>
      </w:r>
      <w:r>
        <w:rPr>
          <w:rFonts w:ascii="Times New Roman" w:eastAsiaTheme="minorEastAsia" w:hAnsi="Times New Roman" w:cs="Times New Roman"/>
          <w:sz w:val="24"/>
          <w:szCs w:val="24"/>
          <w:lang w:val="es-CL"/>
        </w:rPr>
        <w:t xml:space="preserve">), incluyeron </w:t>
      </w:r>
      <w:r w:rsidR="00A141C7">
        <w:rPr>
          <w:rFonts w:ascii="Times New Roman" w:eastAsiaTheme="minorEastAsia" w:hAnsi="Times New Roman" w:cs="Times New Roman"/>
          <w:sz w:val="24"/>
          <w:szCs w:val="24"/>
          <w:lang w:val="es-CL"/>
        </w:rPr>
        <w:t xml:space="preserve">el </w:t>
      </w:r>
      <w:r>
        <w:rPr>
          <w:rFonts w:ascii="Times New Roman" w:eastAsiaTheme="minorEastAsia" w:hAnsi="Times New Roman" w:cs="Times New Roman"/>
          <w:sz w:val="24"/>
          <w:szCs w:val="24"/>
          <w:lang w:val="es-CL"/>
        </w:rPr>
        <w:t>permitir la deducción de impuestos gracias</w:t>
      </w:r>
      <w:r w:rsidR="008B4032" w:rsidRPr="006A0175">
        <w:rPr>
          <w:rFonts w:ascii="Times New Roman" w:eastAsiaTheme="minorEastAsia" w:hAnsi="Times New Roman" w:cs="Times New Roman"/>
          <w:sz w:val="24"/>
          <w:szCs w:val="24"/>
          <w:lang w:val="es-CL"/>
        </w:rPr>
        <w:t xml:space="preserve"> investigación y desarroll</w:t>
      </w:r>
      <w:r w:rsidR="00355C96">
        <w:rPr>
          <w:rFonts w:ascii="Times New Roman" w:eastAsiaTheme="minorEastAsia" w:hAnsi="Times New Roman" w:cs="Times New Roman"/>
          <w:sz w:val="24"/>
          <w:szCs w:val="24"/>
          <w:lang w:val="es-CL"/>
        </w:rPr>
        <w:t>o intramuros, lo cual teóricamente implicaría</w:t>
      </w:r>
      <w:r w:rsidR="008B4032" w:rsidRPr="006A0175">
        <w:rPr>
          <w:rFonts w:ascii="Times New Roman" w:eastAsiaTheme="minorEastAsia" w:hAnsi="Times New Roman" w:cs="Times New Roman"/>
          <w:sz w:val="24"/>
          <w:szCs w:val="24"/>
          <w:lang w:val="es-CL"/>
        </w:rPr>
        <w:t xml:space="preserve"> beneficios potenciales </w:t>
      </w:r>
      <w:r w:rsidR="00355C96">
        <w:rPr>
          <w:rFonts w:ascii="Times New Roman" w:eastAsiaTheme="minorEastAsia" w:hAnsi="Times New Roman" w:cs="Times New Roman"/>
          <w:sz w:val="24"/>
          <w:szCs w:val="24"/>
          <w:lang w:val="es-CL"/>
        </w:rPr>
        <w:t xml:space="preserve">para las empresas de </w:t>
      </w:r>
      <w:r w:rsidR="008B4032" w:rsidRPr="006A0175">
        <w:rPr>
          <w:rFonts w:ascii="Times New Roman" w:eastAsiaTheme="minorEastAsia" w:hAnsi="Times New Roman" w:cs="Times New Roman"/>
          <w:sz w:val="24"/>
          <w:szCs w:val="24"/>
          <w:lang w:val="es-CL"/>
        </w:rPr>
        <w:t>ap</w:t>
      </w:r>
      <w:r w:rsidR="00355C96">
        <w:rPr>
          <w:rFonts w:ascii="Times New Roman" w:eastAsiaTheme="minorEastAsia" w:hAnsi="Times New Roman" w:cs="Times New Roman"/>
          <w:sz w:val="24"/>
          <w:szCs w:val="24"/>
          <w:lang w:val="es-CL"/>
        </w:rPr>
        <w:t>roximadamente tres veces mayor</w:t>
      </w:r>
      <w:r w:rsidR="008B4032" w:rsidRPr="006A0175">
        <w:rPr>
          <w:rStyle w:val="Refdenotaalpie"/>
          <w:rFonts w:ascii="Times New Roman" w:eastAsiaTheme="minorEastAsia" w:hAnsi="Times New Roman" w:cs="Times New Roman"/>
          <w:sz w:val="24"/>
          <w:szCs w:val="24"/>
          <w:lang w:val="es-CL"/>
        </w:rPr>
        <w:footnoteReference w:id="12"/>
      </w:r>
      <w:r w:rsidR="00132C27" w:rsidRPr="006A0175">
        <w:rPr>
          <w:rFonts w:ascii="Times New Roman" w:eastAsiaTheme="minorEastAsia" w:hAnsi="Times New Roman" w:cs="Times New Roman"/>
          <w:sz w:val="24"/>
          <w:szCs w:val="24"/>
          <w:lang w:val="es-CL"/>
        </w:rPr>
        <w:t xml:space="preserve"> a la ley anterior</w:t>
      </w:r>
      <w:r w:rsidR="008B4032" w:rsidRPr="006A0175">
        <w:rPr>
          <w:rFonts w:ascii="Times New Roman" w:eastAsiaTheme="minorEastAsia" w:hAnsi="Times New Roman" w:cs="Times New Roman"/>
          <w:sz w:val="24"/>
          <w:szCs w:val="24"/>
          <w:lang w:val="es-CL"/>
        </w:rPr>
        <w:t xml:space="preserve">. </w:t>
      </w:r>
      <w:r w:rsidR="00355C96">
        <w:rPr>
          <w:rFonts w:ascii="Times New Roman" w:eastAsiaTheme="minorEastAsia" w:hAnsi="Times New Roman" w:cs="Times New Roman"/>
          <w:sz w:val="24"/>
          <w:szCs w:val="24"/>
          <w:lang w:val="es-CL"/>
        </w:rPr>
        <w:t>Mediante el modelo empírico del B-</w:t>
      </w:r>
      <w:proofErr w:type="spellStart"/>
      <w:r w:rsidR="00355C96">
        <w:rPr>
          <w:rFonts w:ascii="Times New Roman" w:eastAsiaTheme="minorEastAsia" w:hAnsi="Times New Roman" w:cs="Times New Roman"/>
          <w:sz w:val="24"/>
          <w:szCs w:val="24"/>
          <w:lang w:val="es-CL"/>
        </w:rPr>
        <w:t>Index</w:t>
      </w:r>
      <w:proofErr w:type="spellEnd"/>
      <w:r w:rsidR="00355C96">
        <w:rPr>
          <w:rFonts w:ascii="Times New Roman" w:eastAsiaTheme="minorEastAsia" w:hAnsi="Times New Roman" w:cs="Times New Roman"/>
          <w:sz w:val="24"/>
          <w:szCs w:val="24"/>
          <w:lang w:val="es-CL"/>
        </w:rPr>
        <w:t xml:space="preserve"> se intentará probar la veracidad de dicha afirmación.</w:t>
      </w:r>
    </w:p>
    <w:p w14:paraId="17834593" w14:textId="3038F3BF" w:rsidR="0014059D" w:rsidRPr="006A0175" w:rsidRDefault="00DD7FE0" w:rsidP="0014059D">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De acuerdo con Servicio de Impuestos Internos (SII) la vida útil para </w:t>
      </w:r>
      <w:r w:rsidR="008B4032" w:rsidRPr="006A0175">
        <w:rPr>
          <w:rFonts w:ascii="Times New Roman" w:eastAsiaTheme="minorEastAsia" w:hAnsi="Times New Roman" w:cs="Times New Roman"/>
          <w:sz w:val="24"/>
          <w:szCs w:val="24"/>
          <w:lang w:val="es-CL"/>
        </w:rPr>
        <w:t xml:space="preserve">terrenos y </w:t>
      </w:r>
      <w:r w:rsidRPr="006A0175">
        <w:rPr>
          <w:rFonts w:ascii="Times New Roman" w:eastAsiaTheme="minorEastAsia" w:hAnsi="Times New Roman" w:cs="Times New Roman"/>
          <w:sz w:val="24"/>
          <w:szCs w:val="24"/>
          <w:lang w:val="es-CL"/>
        </w:rPr>
        <w:t>edificios fluctúa entre 20 y 80 años, mientras que la m</w:t>
      </w:r>
      <w:r w:rsidR="008B4032" w:rsidRPr="006A0175">
        <w:rPr>
          <w:rFonts w:ascii="Times New Roman" w:eastAsiaTheme="minorEastAsia" w:hAnsi="Times New Roman" w:cs="Times New Roman"/>
          <w:sz w:val="24"/>
          <w:szCs w:val="24"/>
          <w:lang w:val="es-CL"/>
        </w:rPr>
        <w:t>aquinaria y equipo entre 5 y 15</w:t>
      </w:r>
      <w:r w:rsidR="00EE5DEF">
        <w:rPr>
          <w:rFonts w:ascii="Times New Roman" w:eastAsiaTheme="minorEastAsia" w:hAnsi="Times New Roman" w:cs="Times New Roman"/>
          <w:sz w:val="24"/>
          <w:szCs w:val="24"/>
          <w:lang w:val="es-CL"/>
        </w:rPr>
        <w:t xml:space="preserve"> años</w:t>
      </w:r>
      <w:r w:rsidR="0052350C" w:rsidRPr="006A0175">
        <w:rPr>
          <w:rFonts w:ascii="Times New Roman" w:eastAsiaTheme="minorEastAsia" w:hAnsi="Times New Roman" w:cs="Times New Roman"/>
          <w:sz w:val="24"/>
          <w:szCs w:val="24"/>
          <w:lang w:val="es-CL"/>
        </w:rPr>
        <w:t>, y con estos datos típicamente se estima una cuota de depreciación anual.</w:t>
      </w:r>
      <w:r w:rsidR="00D43832" w:rsidRPr="006A0175">
        <w:rPr>
          <w:rFonts w:ascii="Times New Roman" w:eastAsiaTheme="minorEastAsia" w:hAnsi="Times New Roman" w:cs="Times New Roman"/>
          <w:sz w:val="24"/>
          <w:szCs w:val="24"/>
          <w:lang w:val="es-CL"/>
        </w:rPr>
        <w:t xml:space="preserve"> No </w:t>
      </w:r>
      <w:r w:rsidR="00355C96" w:rsidRPr="006A0175">
        <w:rPr>
          <w:rFonts w:ascii="Times New Roman" w:eastAsiaTheme="minorEastAsia" w:hAnsi="Times New Roman" w:cs="Times New Roman"/>
          <w:sz w:val="24"/>
          <w:szCs w:val="24"/>
          <w:lang w:val="es-CL"/>
        </w:rPr>
        <w:t>obstante,</w:t>
      </w:r>
      <w:r w:rsidR="00A141C7">
        <w:rPr>
          <w:rFonts w:ascii="Times New Roman" w:eastAsiaTheme="minorEastAsia" w:hAnsi="Times New Roman" w:cs="Times New Roman"/>
          <w:sz w:val="24"/>
          <w:szCs w:val="24"/>
          <w:lang w:val="es-CL"/>
        </w:rPr>
        <w:t xml:space="preserve"> la reforma en la Ley de Incentivo T</w:t>
      </w:r>
      <w:r w:rsidRPr="006A0175">
        <w:rPr>
          <w:rFonts w:ascii="Times New Roman" w:eastAsiaTheme="minorEastAsia" w:hAnsi="Times New Roman" w:cs="Times New Roman"/>
          <w:sz w:val="24"/>
          <w:szCs w:val="24"/>
          <w:lang w:val="es-CL"/>
        </w:rPr>
        <w:t>ributario incorpora la cuota de depreciación anual; u</w:t>
      </w:r>
      <w:r w:rsidR="00716173" w:rsidRPr="006A0175">
        <w:rPr>
          <w:rFonts w:ascii="Times New Roman" w:eastAsiaTheme="minorEastAsia" w:hAnsi="Times New Roman" w:cs="Times New Roman"/>
          <w:sz w:val="24"/>
          <w:szCs w:val="24"/>
          <w:lang w:val="es-CL"/>
        </w:rPr>
        <w:t>na firma pro</w:t>
      </w:r>
      <w:r w:rsidR="0052350C" w:rsidRPr="006A0175">
        <w:rPr>
          <w:rFonts w:ascii="Times New Roman" w:eastAsiaTheme="minorEastAsia" w:hAnsi="Times New Roman" w:cs="Times New Roman"/>
          <w:sz w:val="24"/>
          <w:szCs w:val="24"/>
          <w:lang w:val="es-CL"/>
        </w:rPr>
        <w:t>medio paga aproximadamente un 17</w:t>
      </w:r>
      <w:r w:rsidR="00716173" w:rsidRPr="006A0175">
        <w:rPr>
          <w:rFonts w:ascii="Times New Roman" w:eastAsiaTheme="minorEastAsia" w:hAnsi="Times New Roman" w:cs="Times New Roman"/>
          <w:sz w:val="24"/>
          <w:szCs w:val="24"/>
          <w:lang w:val="es-CL"/>
        </w:rPr>
        <w:t>% de depr</w:t>
      </w:r>
      <w:r w:rsidRPr="006A0175">
        <w:rPr>
          <w:rFonts w:ascii="Times New Roman" w:eastAsiaTheme="minorEastAsia" w:hAnsi="Times New Roman" w:cs="Times New Roman"/>
          <w:sz w:val="24"/>
          <w:szCs w:val="24"/>
          <w:lang w:val="es-CL"/>
        </w:rPr>
        <w:t xml:space="preserve">eciación distribuyéndolos </w:t>
      </w:r>
      <w:r w:rsidR="00CA53B8" w:rsidRPr="006A0175">
        <w:rPr>
          <w:rFonts w:ascii="Times New Roman" w:eastAsiaTheme="minorEastAsia" w:hAnsi="Times New Roman" w:cs="Times New Roman"/>
          <w:sz w:val="24"/>
          <w:szCs w:val="24"/>
          <w:lang w:val="es-CL"/>
        </w:rPr>
        <w:t xml:space="preserve">en un </w:t>
      </w:r>
      <w:r w:rsidR="00716173" w:rsidRPr="006A0175">
        <w:rPr>
          <w:rFonts w:ascii="Times New Roman" w:eastAsiaTheme="minorEastAsia" w:hAnsi="Times New Roman" w:cs="Times New Roman"/>
          <w:sz w:val="24"/>
          <w:szCs w:val="24"/>
          <w:lang w:val="es-CL"/>
        </w:rPr>
        <w:t xml:space="preserve">4% </w:t>
      </w:r>
      <w:r w:rsidR="00CA53B8" w:rsidRPr="006A0175">
        <w:rPr>
          <w:rFonts w:ascii="Times New Roman" w:eastAsiaTheme="minorEastAsia" w:hAnsi="Times New Roman" w:cs="Times New Roman"/>
          <w:sz w:val="24"/>
          <w:szCs w:val="24"/>
          <w:lang w:val="es-CL"/>
        </w:rPr>
        <w:t>para terrenos y edificios, 10%</w:t>
      </w:r>
      <w:r w:rsidR="00716173" w:rsidRPr="006A0175">
        <w:rPr>
          <w:rFonts w:ascii="Times New Roman" w:eastAsiaTheme="minorEastAsia" w:hAnsi="Times New Roman" w:cs="Times New Roman"/>
          <w:sz w:val="24"/>
          <w:szCs w:val="24"/>
          <w:lang w:val="es-CL"/>
        </w:rPr>
        <w:t xml:space="preserve"> maquinaria y equipo, y 3% software. </w:t>
      </w:r>
      <w:r w:rsidR="00CA53B8" w:rsidRPr="006A0175">
        <w:rPr>
          <w:rFonts w:ascii="Times New Roman" w:eastAsiaTheme="minorEastAsia" w:hAnsi="Times New Roman" w:cs="Times New Roman"/>
          <w:sz w:val="24"/>
          <w:szCs w:val="24"/>
          <w:lang w:val="es-CL"/>
        </w:rPr>
        <w:t>Es relevante contemplar que e</w:t>
      </w:r>
      <w:r w:rsidR="00716173" w:rsidRPr="006A0175">
        <w:rPr>
          <w:rFonts w:ascii="Times New Roman" w:eastAsiaTheme="minorEastAsia" w:hAnsi="Times New Roman" w:cs="Times New Roman"/>
          <w:sz w:val="24"/>
          <w:szCs w:val="24"/>
          <w:lang w:val="es-CL"/>
        </w:rPr>
        <w:t>l incentivo tributario sólo c</w:t>
      </w:r>
      <w:r w:rsidRPr="006A0175">
        <w:rPr>
          <w:rFonts w:ascii="Times New Roman" w:eastAsiaTheme="minorEastAsia" w:hAnsi="Times New Roman" w:cs="Times New Roman"/>
          <w:sz w:val="24"/>
          <w:szCs w:val="24"/>
          <w:lang w:val="es-CL"/>
        </w:rPr>
        <w:t>onsidera los dos primeros ítems</w:t>
      </w:r>
      <w:r w:rsidR="0052350C" w:rsidRPr="006A0175">
        <w:rPr>
          <w:rFonts w:ascii="Times New Roman" w:eastAsiaTheme="minorEastAsia" w:hAnsi="Times New Roman" w:cs="Times New Roman"/>
          <w:sz w:val="24"/>
          <w:szCs w:val="24"/>
          <w:lang w:val="es-CL"/>
        </w:rPr>
        <w:t xml:space="preserve">, ya que </w:t>
      </w:r>
      <w:r w:rsidR="0014059D" w:rsidRPr="006A0175">
        <w:rPr>
          <w:rFonts w:ascii="Times New Roman" w:eastAsiaTheme="minorEastAsia" w:hAnsi="Times New Roman" w:cs="Times New Roman"/>
          <w:sz w:val="24"/>
          <w:szCs w:val="24"/>
          <w:lang w:val="es-CL"/>
        </w:rPr>
        <w:t xml:space="preserve">el software no es considerado como un activo sujeto a la depreciación. Las tasas de depreciación son definidas como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LB</m:t>
            </m:r>
          </m:sup>
        </m:sSup>
      </m:oMath>
      <w:r w:rsidR="0014059D" w:rsidRPr="006A0175">
        <w:rPr>
          <w:rFonts w:ascii="Times New Roman" w:eastAsiaTheme="minorEastAsia" w:hAnsi="Times New Roman" w:cs="Times New Roman"/>
          <w:sz w:val="24"/>
          <w:szCs w:val="24"/>
          <w:lang w:val="es-CL"/>
        </w:rPr>
        <w:t xml:space="preserve"> para terrenos y edificios, y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ME</m:t>
            </m:r>
          </m:sup>
        </m:sSup>
      </m:oMath>
      <w:r w:rsidR="0014059D" w:rsidRPr="006A0175">
        <w:rPr>
          <w:rFonts w:ascii="Times New Roman" w:eastAsiaTheme="minorEastAsia" w:hAnsi="Times New Roman" w:cs="Times New Roman"/>
          <w:sz w:val="24"/>
          <w:szCs w:val="24"/>
          <w:lang w:val="es-CL"/>
        </w:rPr>
        <w:t xml:space="preserve"> para maquinarias y equipos.</w:t>
      </w:r>
    </w:p>
    <w:p w14:paraId="19E6B1B1" w14:textId="3842844D" w:rsidR="00F40C76" w:rsidRPr="006A0175" w:rsidRDefault="00716173" w:rsidP="008B4032">
      <w:pPr>
        <w:jc w:val="both"/>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Por otra parte el impuesto de primera categoría</w:t>
      </w:r>
      <w:r w:rsidR="0052350C" w:rsidRPr="006A0175">
        <w:rPr>
          <w:rFonts w:ascii="Times New Roman" w:eastAsiaTheme="minorEastAsia" w:hAnsi="Times New Roman" w:cs="Times New Roman"/>
          <w:sz w:val="24"/>
          <w:szCs w:val="24"/>
          <w:lang w:val="es-CL"/>
        </w:rPr>
        <w:t xml:space="preserve"> (</w:t>
      </w:r>
      <m:oMath>
        <m:r>
          <w:rPr>
            <w:rFonts w:ascii="Cambria Math" w:eastAsiaTheme="minorEastAsia" w:hAnsi="Cambria Math" w:cs="Times New Roman"/>
            <w:sz w:val="24"/>
            <w:szCs w:val="24"/>
            <w:lang w:val="es-CL"/>
          </w:rPr>
          <m:t>τ</m:t>
        </m:r>
      </m:oMath>
      <w:r w:rsidR="0052350C" w:rsidRPr="006A0175">
        <w:rPr>
          <w:rFonts w:ascii="Times New Roman" w:eastAsiaTheme="minorEastAsia" w:hAnsi="Times New Roman" w:cs="Times New Roman"/>
          <w:sz w:val="24"/>
          <w:szCs w:val="24"/>
          <w:lang w:val="es-CL"/>
        </w:rPr>
        <w:t>)</w:t>
      </w:r>
      <w:r w:rsidRPr="006A0175">
        <w:rPr>
          <w:rFonts w:ascii="Times New Roman" w:eastAsiaTheme="minorEastAsia" w:hAnsi="Times New Roman" w:cs="Times New Roman"/>
          <w:sz w:val="24"/>
          <w:szCs w:val="24"/>
          <w:lang w:val="es-CL"/>
        </w:rPr>
        <w:t xml:space="preserve">, es decir el impuesto que pagan las empresas, </w:t>
      </w:r>
      <w:r w:rsidR="00CA53B8" w:rsidRPr="006A0175">
        <w:rPr>
          <w:rFonts w:ascii="Times New Roman" w:eastAsiaTheme="minorEastAsia" w:hAnsi="Times New Roman" w:cs="Times New Roman"/>
          <w:sz w:val="24"/>
          <w:szCs w:val="24"/>
          <w:lang w:val="es-CL"/>
        </w:rPr>
        <w:t>tuvo</w:t>
      </w:r>
      <w:r w:rsidRPr="006A0175">
        <w:rPr>
          <w:rFonts w:ascii="Times New Roman" w:eastAsiaTheme="minorEastAsia" w:hAnsi="Times New Roman" w:cs="Times New Roman"/>
          <w:sz w:val="24"/>
          <w:szCs w:val="24"/>
          <w:lang w:val="es-CL"/>
        </w:rPr>
        <w:t xml:space="preserve"> la siguiente </w:t>
      </w:r>
      <w:r w:rsidR="00355C96">
        <w:rPr>
          <w:rFonts w:ascii="Times New Roman" w:eastAsiaTheme="minorEastAsia" w:hAnsi="Times New Roman" w:cs="Times New Roman"/>
          <w:sz w:val="24"/>
          <w:szCs w:val="24"/>
          <w:lang w:val="es-CL"/>
        </w:rPr>
        <w:t>evolución</w:t>
      </w:r>
      <w:r w:rsidRPr="006A0175">
        <w:rPr>
          <w:rFonts w:ascii="Times New Roman" w:eastAsiaTheme="minorEastAsia" w:hAnsi="Times New Roman" w:cs="Times New Roman"/>
          <w:sz w:val="24"/>
          <w:szCs w:val="24"/>
          <w:lang w:val="es-CL"/>
        </w:rPr>
        <w:t>:</w:t>
      </w:r>
    </w:p>
    <w:p w14:paraId="24F7D9A3" w14:textId="20F29528" w:rsidR="00355C96" w:rsidRPr="006A0175" w:rsidRDefault="005C0F1F" w:rsidP="00355C96">
      <w:pPr>
        <w:jc w:val="center"/>
        <w:rPr>
          <w:rFonts w:ascii="Times New Roman" w:hAnsi="Times New Roman" w:cs="Times New Roman"/>
          <w:sz w:val="24"/>
          <w:szCs w:val="24"/>
          <w:u w:val="single"/>
        </w:rPr>
      </w:pPr>
      <w:r>
        <w:rPr>
          <w:rFonts w:ascii="Times New Roman" w:hAnsi="Times New Roman" w:cs="Times New Roman"/>
          <w:sz w:val="24"/>
          <w:szCs w:val="24"/>
          <w:u w:val="single"/>
        </w:rPr>
        <w:t>Cuadro 3</w:t>
      </w:r>
      <w:r w:rsidR="007E71FD" w:rsidRPr="006A0175">
        <w:rPr>
          <w:rFonts w:ascii="Times New Roman" w:hAnsi="Times New Roman" w:cs="Times New Roman"/>
          <w:sz w:val="24"/>
          <w:szCs w:val="24"/>
          <w:u w:val="single"/>
        </w:rPr>
        <w:t xml:space="preserve">.1: </w:t>
      </w:r>
      <w:r w:rsidR="00D14E8A" w:rsidRPr="006A0175">
        <w:rPr>
          <w:rFonts w:ascii="Times New Roman" w:hAnsi="Times New Roman" w:cs="Times New Roman"/>
          <w:sz w:val="24"/>
          <w:szCs w:val="24"/>
          <w:u w:val="single"/>
        </w:rPr>
        <w:t>Impuesto de primera categoría por año</w:t>
      </w:r>
    </w:p>
    <w:tbl>
      <w:tblPr>
        <w:tblW w:w="4620" w:type="dxa"/>
        <w:jc w:val="center"/>
        <w:tblCellMar>
          <w:left w:w="70" w:type="dxa"/>
          <w:right w:w="70" w:type="dxa"/>
        </w:tblCellMar>
        <w:tblLook w:val="04A0" w:firstRow="1" w:lastRow="0" w:firstColumn="1" w:lastColumn="0" w:noHBand="0" w:noVBand="1"/>
      </w:tblPr>
      <w:tblGrid>
        <w:gridCol w:w="2240"/>
        <w:gridCol w:w="2380"/>
      </w:tblGrid>
      <w:tr w:rsidR="007E71FD" w:rsidRPr="006A0175" w14:paraId="1255C233" w14:textId="77777777" w:rsidTr="007E71FD">
        <w:trPr>
          <w:trHeight w:val="645"/>
          <w:jc w:val="center"/>
        </w:trPr>
        <w:tc>
          <w:tcPr>
            <w:tcW w:w="2240" w:type="dxa"/>
            <w:tcBorders>
              <w:top w:val="single" w:sz="4" w:space="0" w:color="auto"/>
              <w:left w:val="nil"/>
              <w:bottom w:val="double" w:sz="6" w:space="0" w:color="auto"/>
              <w:right w:val="nil"/>
            </w:tcBorders>
            <w:shd w:val="clear" w:color="auto" w:fill="auto"/>
            <w:vAlign w:val="center"/>
            <w:hideMark/>
          </w:tcPr>
          <w:p w14:paraId="3529C31E" w14:textId="1214F49F" w:rsidR="007E71FD" w:rsidRPr="006A0175" w:rsidRDefault="007E71FD" w:rsidP="00355C96">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 xml:space="preserve">Año </w:t>
            </w:r>
            <w:r w:rsidR="00355C96">
              <w:rPr>
                <w:rFonts w:ascii="Times New Roman" w:eastAsia="Times New Roman" w:hAnsi="Times New Roman" w:cs="Times New Roman"/>
                <w:color w:val="000000"/>
                <w:sz w:val="24"/>
                <w:szCs w:val="24"/>
                <w:lang w:val="es-CL" w:eastAsia="es-CL"/>
              </w:rPr>
              <w:t>tributario</w:t>
            </w:r>
            <w:r w:rsidRPr="006A0175">
              <w:rPr>
                <w:rFonts w:ascii="Times New Roman" w:eastAsia="Times New Roman" w:hAnsi="Times New Roman" w:cs="Times New Roman"/>
                <w:color w:val="000000"/>
                <w:sz w:val="24"/>
                <w:szCs w:val="24"/>
                <w:lang w:val="es-CL" w:eastAsia="es-CL"/>
              </w:rPr>
              <w:t xml:space="preserve"> </w:t>
            </w:r>
          </w:p>
        </w:tc>
        <w:tc>
          <w:tcPr>
            <w:tcW w:w="2380" w:type="dxa"/>
            <w:tcBorders>
              <w:top w:val="single" w:sz="4" w:space="0" w:color="auto"/>
              <w:left w:val="nil"/>
              <w:bottom w:val="double" w:sz="6" w:space="0" w:color="auto"/>
              <w:right w:val="nil"/>
            </w:tcBorders>
            <w:shd w:val="clear" w:color="auto" w:fill="auto"/>
            <w:vAlign w:val="center"/>
            <w:hideMark/>
          </w:tcPr>
          <w:p w14:paraId="1E2F2972" w14:textId="77777777" w:rsidR="007E71FD" w:rsidRPr="006A0175" w:rsidRDefault="007E71FD" w:rsidP="007E71FD">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Tasas de Primera Categoría</w:t>
            </w:r>
          </w:p>
        </w:tc>
      </w:tr>
      <w:tr w:rsidR="007E71FD" w:rsidRPr="006A0175" w14:paraId="2268A801" w14:textId="77777777" w:rsidTr="007E71FD">
        <w:trPr>
          <w:trHeight w:val="330"/>
          <w:jc w:val="center"/>
        </w:trPr>
        <w:tc>
          <w:tcPr>
            <w:tcW w:w="2240" w:type="dxa"/>
            <w:tcBorders>
              <w:top w:val="nil"/>
              <w:left w:val="nil"/>
              <w:bottom w:val="nil"/>
              <w:right w:val="nil"/>
            </w:tcBorders>
            <w:shd w:val="clear" w:color="auto" w:fill="auto"/>
            <w:noWrap/>
            <w:vAlign w:val="center"/>
            <w:hideMark/>
          </w:tcPr>
          <w:p w14:paraId="7F07D273" w14:textId="5BFADB1D" w:rsidR="007E71FD" w:rsidRPr="006A0175" w:rsidRDefault="00355C96" w:rsidP="007E71FD">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2005-2011</w:t>
            </w:r>
          </w:p>
        </w:tc>
        <w:tc>
          <w:tcPr>
            <w:tcW w:w="2380" w:type="dxa"/>
            <w:tcBorders>
              <w:top w:val="nil"/>
              <w:left w:val="nil"/>
              <w:bottom w:val="nil"/>
              <w:right w:val="nil"/>
            </w:tcBorders>
            <w:shd w:val="clear" w:color="auto" w:fill="auto"/>
            <w:noWrap/>
            <w:vAlign w:val="center"/>
            <w:hideMark/>
          </w:tcPr>
          <w:p w14:paraId="6A218142" w14:textId="77777777" w:rsidR="007E71FD" w:rsidRPr="006A0175" w:rsidRDefault="007E71FD" w:rsidP="007E71FD">
            <w:pPr>
              <w:spacing w:after="0" w:line="240" w:lineRule="auto"/>
              <w:jc w:val="center"/>
              <w:rPr>
                <w:rFonts w:ascii="Times New Roman" w:eastAsia="Times New Roman" w:hAnsi="Times New Roman" w:cs="Times New Roman"/>
                <w:sz w:val="24"/>
                <w:szCs w:val="24"/>
                <w:lang w:val="es-CL" w:eastAsia="es-CL"/>
              </w:rPr>
            </w:pPr>
            <w:r w:rsidRPr="006A0175">
              <w:rPr>
                <w:rFonts w:ascii="Times New Roman" w:eastAsia="Times New Roman" w:hAnsi="Times New Roman" w:cs="Times New Roman"/>
                <w:sz w:val="24"/>
                <w:szCs w:val="24"/>
                <w:lang w:val="es-CL" w:eastAsia="es-CL"/>
              </w:rPr>
              <w:t>17%</w:t>
            </w:r>
          </w:p>
        </w:tc>
      </w:tr>
      <w:tr w:rsidR="007E71FD" w:rsidRPr="006A0175" w14:paraId="65E5AD5E" w14:textId="77777777" w:rsidTr="007E71FD">
        <w:trPr>
          <w:trHeight w:val="315"/>
          <w:jc w:val="center"/>
        </w:trPr>
        <w:tc>
          <w:tcPr>
            <w:tcW w:w="2240" w:type="dxa"/>
            <w:tcBorders>
              <w:top w:val="nil"/>
              <w:left w:val="nil"/>
              <w:bottom w:val="nil"/>
              <w:right w:val="nil"/>
            </w:tcBorders>
            <w:shd w:val="clear" w:color="auto" w:fill="auto"/>
            <w:noWrap/>
            <w:vAlign w:val="center"/>
            <w:hideMark/>
          </w:tcPr>
          <w:p w14:paraId="2401FED7" w14:textId="19E0BD47" w:rsidR="007E71FD" w:rsidRPr="006A0175" w:rsidRDefault="00355C96" w:rsidP="007E71FD">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2012-2014</w:t>
            </w:r>
          </w:p>
        </w:tc>
        <w:tc>
          <w:tcPr>
            <w:tcW w:w="2380" w:type="dxa"/>
            <w:tcBorders>
              <w:top w:val="nil"/>
              <w:left w:val="nil"/>
              <w:bottom w:val="nil"/>
              <w:right w:val="nil"/>
            </w:tcBorders>
            <w:shd w:val="clear" w:color="auto" w:fill="auto"/>
            <w:noWrap/>
            <w:vAlign w:val="center"/>
            <w:hideMark/>
          </w:tcPr>
          <w:p w14:paraId="7B9A34BA" w14:textId="77777777" w:rsidR="007E71FD" w:rsidRPr="006A0175" w:rsidRDefault="007E71FD" w:rsidP="007E71FD">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20%</w:t>
            </w:r>
          </w:p>
        </w:tc>
      </w:tr>
      <w:tr w:rsidR="007E71FD" w:rsidRPr="006A0175" w14:paraId="1EAD11D8" w14:textId="77777777" w:rsidTr="007E71FD">
        <w:trPr>
          <w:trHeight w:val="315"/>
          <w:jc w:val="center"/>
        </w:trPr>
        <w:tc>
          <w:tcPr>
            <w:tcW w:w="2240" w:type="dxa"/>
            <w:tcBorders>
              <w:top w:val="nil"/>
              <w:left w:val="nil"/>
              <w:bottom w:val="nil"/>
              <w:right w:val="nil"/>
            </w:tcBorders>
            <w:shd w:val="clear" w:color="auto" w:fill="auto"/>
            <w:noWrap/>
            <w:vAlign w:val="center"/>
            <w:hideMark/>
          </w:tcPr>
          <w:p w14:paraId="3738DB45" w14:textId="1C36E73E" w:rsidR="007E71FD" w:rsidRPr="006A0175" w:rsidRDefault="00355C96" w:rsidP="007E71FD">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2015</w:t>
            </w:r>
          </w:p>
        </w:tc>
        <w:tc>
          <w:tcPr>
            <w:tcW w:w="2380" w:type="dxa"/>
            <w:tcBorders>
              <w:top w:val="nil"/>
              <w:left w:val="nil"/>
              <w:bottom w:val="nil"/>
              <w:right w:val="nil"/>
            </w:tcBorders>
            <w:shd w:val="clear" w:color="auto" w:fill="auto"/>
            <w:noWrap/>
            <w:vAlign w:val="center"/>
            <w:hideMark/>
          </w:tcPr>
          <w:p w14:paraId="1B40C407" w14:textId="7DC6C445" w:rsidR="007E71FD" w:rsidRPr="006A0175" w:rsidRDefault="00355C96" w:rsidP="007E71FD">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21</w:t>
            </w:r>
            <w:r w:rsidR="007E71FD" w:rsidRPr="006A0175">
              <w:rPr>
                <w:rFonts w:ascii="Times New Roman" w:eastAsia="Times New Roman" w:hAnsi="Times New Roman" w:cs="Times New Roman"/>
                <w:color w:val="000000"/>
                <w:sz w:val="24"/>
                <w:szCs w:val="24"/>
                <w:lang w:val="es-CL" w:eastAsia="es-CL"/>
              </w:rPr>
              <w:t>%</w:t>
            </w:r>
          </w:p>
        </w:tc>
      </w:tr>
      <w:tr w:rsidR="007E71FD" w:rsidRPr="006A0175" w14:paraId="5122FA69" w14:textId="77777777" w:rsidTr="007E71FD">
        <w:trPr>
          <w:trHeight w:val="315"/>
          <w:jc w:val="center"/>
        </w:trPr>
        <w:tc>
          <w:tcPr>
            <w:tcW w:w="2240" w:type="dxa"/>
            <w:tcBorders>
              <w:top w:val="nil"/>
              <w:left w:val="nil"/>
              <w:bottom w:val="single" w:sz="4" w:space="0" w:color="auto"/>
              <w:right w:val="nil"/>
            </w:tcBorders>
            <w:shd w:val="clear" w:color="auto" w:fill="auto"/>
            <w:noWrap/>
            <w:vAlign w:val="center"/>
            <w:hideMark/>
          </w:tcPr>
          <w:p w14:paraId="0AE73E84" w14:textId="719CDE6A" w:rsidR="007E71FD" w:rsidRPr="006A0175" w:rsidRDefault="00355C96" w:rsidP="007E71FD">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2016</w:t>
            </w:r>
          </w:p>
        </w:tc>
        <w:tc>
          <w:tcPr>
            <w:tcW w:w="2380" w:type="dxa"/>
            <w:tcBorders>
              <w:top w:val="nil"/>
              <w:left w:val="nil"/>
              <w:bottom w:val="single" w:sz="4" w:space="0" w:color="auto"/>
              <w:right w:val="nil"/>
            </w:tcBorders>
            <w:shd w:val="clear" w:color="auto" w:fill="auto"/>
            <w:noWrap/>
            <w:vAlign w:val="center"/>
            <w:hideMark/>
          </w:tcPr>
          <w:p w14:paraId="6455F849" w14:textId="06D3DA94" w:rsidR="007E71FD" w:rsidRPr="006A0175" w:rsidRDefault="00355C96" w:rsidP="007E71FD">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22,5</w:t>
            </w:r>
            <w:r w:rsidR="007E71FD" w:rsidRPr="006A0175">
              <w:rPr>
                <w:rFonts w:ascii="Times New Roman" w:eastAsia="Times New Roman" w:hAnsi="Times New Roman" w:cs="Times New Roman"/>
                <w:color w:val="000000"/>
                <w:sz w:val="24"/>
                <w:szCs w:val="24"/>
                <w:lang w:val="es-CL" w:eastAsia="es-CL"/>
              </w:rPr>
              <w:t>%</w:t>
            </w:r>
          </w:p>
        </w:tc>
      </w:tr>
    </w:tbl>
    <w:p w14:paraId="10F9A5F9" w14:textId="77777777" w:rsidR="00355C96" w:rsidRDefault="00355C96" w:rsidP="00355C96">
      <w:pPr>
        <w:rPr>
          <w:rFonts w:ascii="Times New Roman" w:eastAsia="Times New Roman" w:hAnsi="Times New Roman" w:cs="Times New Roman"/>
          <w:color w:val="000000"/>
          <w:sz w:val="20"/>
          <w:szCs w:val="20"/>
          <w:lang w:val="es-CL" w:eastAsia="es-CL"/>
        </w:rPr>
      </w:pPr>
    </w:p>
    <w:p w14:paraId="4E87AE18" w14:textId="0875242E" w:rsidR="007E71FD" w:rsidRPr="00355C96" w:rsidRDefault="00D14E8A" w:rsidP="00355C96">
      <w:pPr>
        <w:rPr>
          <w:rFonts w:ascii="Times New Roman" w:eastAsiaTheme="minorEastAsia" w:hAnsi="Times New Roman" w:cs="Times New Roman"/>
          <w:sz w:val="20"/>
          <w:szCs w:val="20"/>
          <w:lang w:val="es-CL"/>
        </w:rPr>
      </w:pPr>
      <w:r w:rsidRPr="00355C96">
        <w:rPr>
          <w:rFonts w:ascii="Times New Roman" w:eastAsia="Times New Roman" w:hAnsi="Times New Roman" w:cs="Times New Roman"/>
          <w:color w:val="000000"/>
          <w:sz w:val="20"/>
          <w:szCs w:val="20"/>
          <w:lang w:val="es-CL" w:eastAsia="es-CL"/>
        </w:rPr>
        <w:t>Fuente: Servicio de Impuestos Internos, SII</w:t>
      </w:r>
    </w:p>
    <w:p w14:paraId="25641CF4" w14:textId="4569EC4F" w:rsidR="002D3029" w:rsidRPr="006A0175" w:rsidRDefault="0052350C" w:rsidP="002D3029">
      <w:pPr>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El tipo</w:t>
      </w:r>
      <w:r w:rsidR="00D43832" w:rsidRPr="006A0175">
        <w:rPr>
          <w:rFonts w:ascii="Times New Roman" w:eastAsiaTheme="minorEastAsia" w:hAnsi="Times New Roman" w:cs="Times New Roman"/>
          <w:sz w:val="24"/>
          <w:szCs w:val="24"/>
          <w:lang w:val="es-CL"/>
        </w:rPr>
        <w:t xml:space="preserve"> de </w:t>
      </w:r>
      <w:r w:rsidRPr="006A0175">
        <w:rPr>
          <w:rFonts w:ascii="Times New Roman" w:eastAsiaTheme="minorEastAsia" w:hAnsi="Times New Roman" w:cs="Times New Roman"/>
          <w:sz w:val="24"/>
          <w:szCs w:val="24"/>
          <w:lang w:val="es-CL"/>
        </w:rPr>
        <w:t>inversión</w:t>
      </w:r>
      <w:r w:rsidR="00D43832" w:rsidRPr="006A0175">
        <w:rPr>
          <w:rFonts w:ascii="Times New Roman" w:eastAsiaTheme="minorEastAsia" w:hAnsi="Times New Roman" w:cs="Times New Roman"/>
          <w:sz w:val="24"/>
          <w:szCs w:val="24"/>
          <w:lang w:val="es-CL"/>
        </w:rPr>
        <w:t xml:space="preserve"> en I+D</w:t>
      </w:r>
      <w:r w:rsidRPr="006A0175">
        <w:rPr>
          <w:rFonts w:ascii="Times New Roman" w:eastAsiaTheme="minorEastAsia" w:hAnsi="Times New Roman" w:cs="Times New Roman"/>
          <w:sz w:val="24"/>
          <w:szCs w:val="24"/>
          <w:lang w:val="es-CL"/>
        </w:rPr>
        <w:t>, que no es capital</w:t>
      </w:r>
      <w:r w:rsidR="00132C27" w:rsidRPr="006A0175">
        <w:rPr>
          <w:rFonts w:ascii="Times New Roman" w:eastAsiaTheme="minorEastAsia" w:hAnsi="Times New Roman" w:cs="Times New Roman"/>
          <w:sz w:val="24"/>
          <w:szCs w:val="24"/>
          <w:lang w:val="es-CL"/>
        </w:rPr>
        <w:t>,</w:t>
      </w:r>
      <w:r w:rsidR="00AB10E4">
        <w:rPr>
          <w:rFonts w:ascii="Times New Roman" w:eastAsiaTheme="minorEastAsia" w:hAnsi="Times New Roman" w:cs="Times New Roman"/>
          <w:sz w:val="24"/>
          <w:szCs w:val="24"/>
          <w:lang w:val="es-CL"/>
        </w:rPr>
        <w:t xml:space="preserve"> sino gasto corriente</w:t>
      </w:r>
      <w:r w:rsidR="00132C27" w:rsidRPr="006A0175">
        <w:rPr>
          <w:rFonts w:ascii="Times New Roman" w:eastAsiaTheme="minorEastAsia" w:hAnsi="Times New Roman" w:cs="Times New Roman"/>
          <w:sz w:val="24"/>
          <w:szCs w:val="24"/>
          <w:lang w:val="es-CL"/>
        </w:rPr>
        <w:t xml:space="preserve"> se define</w:t>
      </w:r>
      <w:r w:rsidR="00D43832" w:rsidRPr="006A0175">
        <w:rPr>
          <w:rFonts w:ascii="Times New Roman" w:eastAsiaTheme="minorEastAsia" w:hAnsi="Times New Roman" w:cs="Times New Roman"/>
          <w:sz w:val="24"/>
          <w:szCs w:val="24"/>
          <w:lang w:val="es-CL"/>
        </w:rPr>
        <w:t xml:space="preserve"> de la siguiente manera:</w:t>
      </w:r>
    </w:p>
    <w:p w14:paraId="30B40855" w14:textId="39FC5844" w:rsidR="002D3029" w:rsidRPr="006A0175" w:rsidRDefault="00CE39D4" w:rsidP="00FC686F">
      <w:pPr>
        <w:pStyle w:val="Prrafodelista"/>
        <w:numPr>
          <w:ilvl w:val="0"/>
          <w:numId w:val="2"/>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L</m:t>
            </m:r>
          </m:sup>
        </m:sSubSup>
      </m:oMath>
      <w:r w:rsidR="002D3029" w:rsidRPr="006A0175">
        <w:rPr>
          <w:rFonts w:ascii="Times New Roman" w:eastAsiaTheme="minorEastAsia" w:hAnsi="Times New Roman"/>
          <w:sz w:val="24"/>
          <w:szCs w:val="24"/>
          <w:lang w:val="es-CL"/>
        </w:rPr>
        <w:t xml:space="preserve">  : </w:t>
      </w:r>
      <w:r w:rsidR="00D43832" w:rsidRPr="006A0175">
        <w:rPr>
          <w:rFonts w:ascii="Times New Roman" w:eastAsiaTheme="minorEastAsia" w:hAnsi="Times New Roman"/>
          <w:sz w:val="24"/>
          <w:szCs w:val="24"/>
          <w:lang w:val="es-CL"/>
        </w:rPr>
        <w:t xml:space="preserve">Proporción de la I+D total dedicada </w:t>
      </w:r>
      <w:r w:rsidR="00126A04">
        <w:rPr>
          <w:rFonts w:ascii="Times New Roman" w:eastAsiaTheme="minorEastAsia" w:hAnsi="Times New Roman"/>
          <w:sz w:val="24"/>
          <w:szCs w:val="24"/>
          <w:lang w:val="es-CL"/>
        </w:rPr>
        <w:t>a remuneraciones de trabajadores</w:t>
      </w:r>
      <w:r w:rsidR="00D43832" w:rsidRPr="006A0175">
        <w:rPr>
          <w:rFonts w:ascii="Times New Roman" w:eastAsiaTheme="minorEastAsia" w:hAnsi="Times New Roman"/>
          <w:sz w:val="24"/>
          <w:szCs w:val="24"/>
          <w:lang w:val="es-CL"/>
        </w:rPr>
        <w:t>.</w:t>
      </w:r>
    </w:p>
    <w:p w14:paraId="05B06073" w14:textId="138B7C37" w:rsidR="002D3029" w:rsidRDefault="00CE39D4" w:rsidP="00FC686F">
      <w:pPr>
        <w:pStyle w:val="Prrafodelista"/>
        <w:numPr>
          <w:ilvl w:val="0"/>
          <w:numId w:val="2"/>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GD</m:t>
            </m:r>
          </m:sup>
        </m:sSubSup>
      </m:oMath>
      <w:r w:rsidR="002D3029" w:rsidRPr="006A0175">
        <w:rPr>
          <w:rFonts w:ascii="Times New Roman" w:eastAsiaTheme="minorEastAsia" w:hAnsi="Times New Roman"/>
          <w:sz w:val="24"/>
          <w:szCs w:val="24"/>
          <w:lang w:val="es-CL"/>
        </w:rPr>
        <w:t xml:space="preserve"> : </w:t>
      </w:r>
      <w:r w:rsidR="00D43832" w:rsidRPr="006A0175">
        <w:rPr>
          <w:rFonts w:ascii="Times New Roman" w:eastAsiaTheme="minorEastAsia" w:hAnsi="Times New Roman"/>
          <w:sz w:val="24"/>
          <w:szCs w:val="24"/>
          <w:lang w:val="es-CL"/>
        </w:rPr>
        <w:t xml:space="preserve">Proporción de la I+D total dedicada a </w:t>
      </w:r>
      <w:r w:rsidR="00126A04">
        <w:rPr>
          <w:rFonts w:ascii="Times New Roman" w:eastAsiaTheme="minorEastAsia" w:hAnsi="Times New Roman"/>
          <w:sz w:val="24"/>
          <w:szCs w:val="24"/>
          <w:lang w:val="es-CL"/>
        </w:rPr>
        <w:t>gastos directos del proyecto.</w:t>
      </w:r>
    </w:p>
    <w:p w14:paraId="00FF0043" w14:textId="55AB12F0" w:rsidR="00126A04" w:rsidRDefault="00CE39D4" w:rsidP="00FC686F">
      <w:pPr>
        <w:pStyle w:val="Prrafodelista"/>
        <w:numPr>
          <w:ilvl w:val="0"/>
          <w:numId w:val="2"/>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CPJ</m:t>
            </m:r>
          </m:sup>
        </m:sSubSup>
      </m:oMath>
      <w:r w:rsidR="00126A04" w:rsidRPr="006A0175">
        <w:rPr>
          <w:rFonts w:ascii="Times New Roman" w:eastAsiaTheme="minorEastAsia" w:hAnsi="Times New Roman"/>
          <w:sz w:val="24"/>
          <w:szCs w:val="24"/>
          <w:lang w:val="es-CL"/>
        </w:rPr>
        <w:t xml:space="preserve"> : Proporción de la I+D total dedicada </w:t>
      </w:r>
      <w:r w:rsidR="00126A04">
        <w:rPr>
          <w:rFonts w:ascii="Times New Roman" w:eastAsiaTheme="minorEastAsia" w:hAnsi="Times New Roman"/>
          <w:sz w:val="24"/>
          <w:szCs w:val="24"/>
          <w:lang w:val="es-CL"/>
        </w:rPr>
        <w:t>contratos con otras personas jurídicas</w:t>
      </w:r>
    </w:p>
    <w:p w14:paraId="7898F6E3" w14:textId="02B548D3" w:rsidR="0014059D" w:rsidRPr="00AB10E4" w:rsidRDefault="00CE39D4" w:rsidP="00FC686F">
      <w:pPr>
        <w:pStyle w:val="Prrafodelista"/>
        <w:numPr>
          <w:ilvl w:val="0"/>
          <w:numId w:val="2"/>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PI</m:t>
            </m:r>
          </m:sup>
        </m:sSubSup>
      </m:oMath>
      <w:r w:rsidR="00126A04" w:rsidRPr="006A0175">
        <w:rPr>
          <w:rFonts w:ascii="Times New Roman" w:eastAsiaTheme="minorEastAsia" w:hAnsi="Times New Roman"/>
          <w:sz w:val="24"/>
          <w:szCs w:val="24"/>
          <w:lang w:val="es-CL"/>
        </w:rPr>
        <w:t xml:space="preserve"> : Prop</w:t>
      </w:r>
      <w:proofErr w:type="spellStart"/>
      <w:r w:rsidR="00126A04">
        <w:rPr>
          <w:rFonts w:ascii="Times New Roman" w:eastAsiaTheme="minorEastAsia" w:hAnsi="Times New Roman"/>
          <w:sz w:val="24"/>
          <w:szCs w:val="24"/>
          <w:lang w:val="es-CL"/>
        </w:rPr>
        <w:t>orción</w:t>
      </w:r>
      <w:proofErr w:type="spellEnd"/>
      <w:r w:rsidR="00126A04">
        <w:rPr>
          <w:rFonts w:ascii="Times New Roman" w:eastAsiaTheme="minorEastAsia" w:hAnsi="Times New Roman"/>
          <w:sz w:val="24"/>
          <w:szCs w:val="24"/>
          <w:lang w:val="es-CL"/>
        </w:rPr>
        <w:t xml:space="preserve"> de la I+D total dedicada gastos de propiedad </w:t>
      </w:r>
      <w:r w:rsidR="00902DA8">
        <w:rPr>
          <w:rFonts w:ascii="Times New Roman" w:eastAsiaTheme="minorEastAsia" w:hAnsi="Times New Roman"/>
          <w:sz w:val="24"/>
          <w:szCs w:val="24"/>
          <w:lang w:val="es-CL"/>
        </w:rPr>
        <w:t>industrial</w:t>
      </w:r>
      <w:r w:rsidR="00114164">
        <w:rPr>
          <w:rFonts w:ascii="Times New Roman" w:eastAsiaTheme="minorEastAsia" w:hAnsi="Times New Roman"/>
          <w:sz w:val="24"/>
          <w:szCs w:val="24"/>
          <w:lang w:val="es-CL"/>
        </w:rPr>
        <w:t>.</w:t>
      </w:r>
    </w:p>
    <w:p w14:paraId="59229EF5" w14:textId="71A3ADCC" w:rsidR="0014059D" w:rsidRPr="006A0175" w:rsidRDefault="0052350C" w:rsidP="002D3029">
      <w:pPr>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La inversión en I+D asociada a bienes de</w:t>
      </w:r>
      <w:r w:rsidR="0014059D" w:rsidRPr="006A0175">
        <w:rPr>
          <w:rFonts w:ascii="Times New Roman" w:eastAsiaTheme="minorEastAsia" w:hAnsi="Times New Roman" w:cs="Times New Roman"/>
          <w:sz w:val="24"/>
          <w:szCs w:val="24"/>
          <w:lang w:val="es-CL"/>
        </w:rPr>
        <w:t xml:space="preserve"> capital </w:t>
      </w:r>
      <w:r w:rsidRPr="006A0175">
        <w:rPr>
          <w:rFonts w:ascii="Times New Roman" w:eastAsiaTheme="minorEastAsia" w:hAnsi="Times New Roman" w:cs="Times New Roman"/>
          <w:sz w:val="24"/>
          <w:szCs w:val="24"/>
          <w:lang w:val="es-CL"/>
        </w:rPr>
        <w:t>es definida</w:t>
      </w:r>
      <w:r w:rsidR="0014059D" w:rsidRPr="006A0175">
        <w:rPr>
          <w:rFonts w:ascii="Times New Roman" w:eastAsiaTheme="minorEastAsia" w:hAnsi="Times New Roman" w:cs="Times New Roman"/>
          <w:sz w:val="24"/>
          <w:szCs w:val="24"/>
          <w:lang w:val="es-CL"/>
        </w:rPr>
        <w:t xml:space="preserve"> de la siguiente forma: </w:t>
      </w:r>
    </w:p>
    <w:p w14:paraId="7C910B6B" w14:textId="473F431F" w:rsidR="002D3029" w:rsidRPr="006A0175" w:rsidRDefault="00CE39D4" w:rsidP="00FC686F">
      <w:pPr>
        <w:pStyle w:val="Prrafodelista"/>
        <w:numPr>
          <w:ilvl w:val="0"/>
          <w:numId w:val="3"/>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TE</m:t>
            </m:r>
          </m:sup>
        </m:sSubSup>
      </m:oMath>
      <w:r w:rsidR="002D3029" w:rsidRPr="006A0175">
        <w:rPr>
          <w:rFonts w:ascii="Times New Roman" w:eastAsiaTheme="minorEastAsia" w:hAnsi="Times New Roman"/>
          <w:sz w:val="24"/>
          <w:szCs w:val="24"/>
          <w:lang w:val="es-CL"/>
        </w:rPr>
        <w:t xml:space="preserve"> : </w:t>
      </w:r>
      <w:r w:rsidR="0014059D" w:rsidRPr="006A0175">
        <w:rPr>
          <w:rFonts w:ascii="Times New Roman" w:eastAsiaTheme="minorEastAsia" w:hAnsi="Times New Roman"/>
          <w:sz w:val="24"/>
          <w:szCs w:val="24"/>
          <w:lang w:val="es-CL"/>
        </w:rPr>
        <w:t>Proporción de la I+D total dedicada a terrenos y edificios</w:t>
      </w:r>
    </w:p>
    <w:p w14:paraId="691ED2BB" w14:textId="23FB5ACD" w:rsidR="0014059D" w:rsidRPr="006A0175" w:rsidRDefault="00CE39D4" w:rsidP="00FC686F">
      <w:pPr>
        <w:pStyle w:val="Prrafodelista"/>
        <w:numPr>
          <w:ilvl w:val="0"/>
          <w:numId w:val="3"/>
        </w:numPr>
        <w:rPr>
          <w:rFonts w:ascii="Times New Roman" w:eastAsiaTheme="minorEastAsia" w:hAnsi="Times New Roman"/>
          <w:sz w:val="24"/>
          <w:szCs w:val="24"/>
          <w:lang w:val="es-CL"/>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r>
              <w:rPr>
                <w:rFonts w:ascii="Cambria Math" w:eastAsiaTheme="minorEastAsia" w:hAnsi="Cambria Math"/>
                <w:sz w:val="24"/>
                <w:szCs w:val="24"/>
              </w:rPr>
              <m:t>it</m:t>
            </m:r>
          </m:sub>
          <m:sup>
            <m:r>
              <w:rPr>
                <w:rFonts w:ascii="Cambria Math" w:eastAsiaTheme="minorEastAsia" w:hAnsi="Cambria Math"/>
                <w:sz w:val="24"/>
                <w:szCs w:val="24"/>
              </w:rPr>
              <m:t>ME</m:t>
            </m:r>
          </m:sup>
        </m:sSubSup>
      </m:oMath>
      <w:r w:rsidR="00043C59">
        <w:rPr>
          <w:rFonts w:ascii="Times New Roman" w:eastAsiaTheme="minorEastAsia" w:hAnsi="Times New Roman"/>
          <w:sz w:val="24"/>
          <w:szCs w:val="24"/>
          <w:lang w:val="es-CL"/>
        </w:rPr>
        <w:t xml:space="preserve"> :</w:t>
      </w:r>
      <w:r w:rsidR="00043C59" w:rsidRPr="006A0175">
        <w:rPr>
          <w:rFonts w:ascii="Times New Roman" w:eastAsiaTheme="minorEastAsia" w:hAnsi="Times New Roman"/>
          <w:sz w:val="24"/>
          <w:szCs w:val="24"/>
          <w:lang w:val="es-CL"/>
        </w:rPr>
        <w:t xml:space="preserve"> Proporción</w:t>
      </w:r>
      <w:r w:rsidR="0014059D" w:rsidRPr="006A0175">
        <w:rPr>
          <w:rFonts w:ascii="Times New Roman" w:eastAsiaTheme="minorEastAsia" w:hAnsi="Times New Roman"/>
          <w:sz w:val="24"/>
          <w:szCs w:val="24"/>
          <w:lang w:val="es-CL"/>
        </w:rPr>
        <w:t xml:space="preserve"> de la I+D total dedicada a maquinaria y equipos</w:t>
      </w:r>
    </w:p>
    <w:p w14:paraId="1764E6A5" w14:textId="7B90352D" w:rsidR="0065147C" w:rsidRDefault="0014059D" w:rsidP="00F429A8">
      <w:pPr>
        <w:rPr>
          <w:rFonts w:ascii="Times New Roman" w:eastAsiaTheme="minorEastAsia" w:hAnsi="Times New Roman" w:cs="Times New Roman"/>
          <w:sz w:val="24"/>
          <w:szCs w:val="24"/>
          <w:lang w:val="es-CL"/>
        </w:rPr>
      </w:pPr>
      <w:r w:rsidRPr="006A0175">
        <w:rPr>
          <w:rFonts w:ascii="Times New Roman" w:eastAsiaTheme="minorEastAsia" w:hAnsi="Times New Roman" w:cs="Times New Roman"/>
          <w:sz w:val="24"/>
          <w:szCs w:val="24"/>
          <w:lang w:val="es-CL"/>
        </w:rPr>
        <w:t xml:space="preserve">Dados los antecedentes </w:t>
      </w:r>
      <w:r w:rsidR="00E90530" w:rsidRPr="006A0175">
        <w:rPr>
          <w:rFonts w:ascii="Times New Roman" w:eastAsiaTheme="minorEastAsia" w:hAnsi="Times New Roman" w:cs="Times New Roman"/>
          <w:sz w:val="24"/>
          <w:szCs w:val="24"/>
          <w:lang w:val="es-CL"/>
        </w:rPr>
        <w:t xml:space="preserve">y parámetros </w:t>
      </w:r>
      <w:r w:rsidR="0065147C">
        <w:rPr>
          <w:rFonts w:ascii="Times New Roman" w:eastAsiaTheme="minorEastAsia" w:hAnsi="Times New Roman" w:cs="Times New Roman"/>
          <w:sz w:val="24"/>
          <w:szCs w:val="24"/>
          <w:lang w:val="es-CL"/>
        </w:rPr>
        <w:t>descritos</w:t>
      </w:r>
      <w:r w:rsidR="00E90530" w:rsidRPr="006A0175">
        <w:rPr>
          <w:rFonts w:ascii="Times New Roman" w:eastAsiaTheme="minorEastAsia" w:hAnsi="Times New Roman" w:cs="Times New Roman"/>
          <w:sz w:val="24"/>
          <w:szCs w:val="24"/>
          <w:lang w:val="es-CL"/>
        </w:rPr>
        <w:t xml:space="preserve">, </w:t>
      </w:r>
      <w:r w:rsidRPr="006A0175">
        <w:rPr>
          <w:rFonts w:ascii="Times New Roman" w:eastAsiaTheme="minorEastAsia" w:hAnsi="Times New Roman" w:cs="Times New Roman"/>
          <w:sz w:val="24"/>
          <w:szCs w:val="24"/>
          <w:lang w:val="es-CL"/>
        </w:rPr>
        <w:t>el B-</w:t>
      </w:r>
      <w:proofErr w:type="spellStart"/>
      <w:r w:rsidRPr="006A0175">
        <w:rPr>
          <w:rFonts w:ascii="Times New Roman" w:eastAsiaTheme="minorEastAsia" w:hAnsi="Times New Roman" w:cs="Times New Roman"/>
          <w:sz w:val="24"/>
          <w:szCs w:val="24"/>
          <w:lang w:val="es-CL"/>
        </w:rPr>
        <w:t>Index</w:t>
      </w:r>
      <w:proofErr w:type="spellEnd"/>
      <w:r w:rsidRPr="006A0175">
        <w:rPr>
          <w:rFonts w:ascii="Times New Roman" w:eastAsiaTheme="minorEastAsia" w:hAnsi="Times New Roman" w:cs="Times New Roman"/>
          <w:sz w:val="24"/>
          <w:szCs w:val="24"/>
          <w:lang w:val="es-CL"/>
        </w:rPr>
        <w:t xml:space="preserve"> puede expresarse </w:t>
      </w:r>
      <w:r w:rsidR="00E90530" w:rsidRPr="006A0175">
        <w:rPr>
          <w:rFonts w:ascii="Times New Roman" w:eastAsiaTheme="minorEastAsia" w:hAnsi="Times New Roman" w:cs="Times New Roman"/>
          <w:sz w:val="24"/>
          <w:szCs w:val="24"/>
          <w:lang w:val="es-CL"/>
        </w:rPr>
        <w:t>en la siguiente ecuación como:</w:t>
      </w:r>
    </w:p>
    <w:p w14:paraId="77B8FD50" w14:textId="77777777" w:rsidR="0065147C" w:rsidRPr="006A0175" w:rsidRDefault="00CE39D4" w:rsidP="0065147C">
      <w:pPr>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(1-A)</m:t>
              </m:r>
            </m:num>
            <m:den>
              <m:r>
                <w:rPr>
                  <w:rFonts w:ascii="Cambria Math" w:eastAsiaTheme="minorEastAsia" w:hAnsi="Cambria Math" w:cs="Times New Roman"/>
                  <w:sz w:val="24"/>
                  <w:szCs w:val="24"/>
                </w:rPr>
                <m:t>(1-τ)</m:t>
              </m:r>
            </m:den>
          </m:f>
        </m:oMath>
      </m:oMathPara>
    </w:p>
    <w:p w14:paraId="50716F27" w14:textId="6303FF49" w:rsidR="0065147C" w:rsidRDefault="0065147C" w:rsidP="00F429A8">
      <w:pPr>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Donde A se des</w:t>
      </w:r>
      <w:r w:rsidR="00043C59">
        <w:rPr>
          <w:rFonts w:ascii="Times New Roman" w:eastAsiaTheme="minorEastAsia" w:hAnsi="Times New Roman" w:cs="Times New Roman"/>
          <w:sz w:val="24"/>
          <w:szCs w:val="24"/>
          <w:lang w:val="es-CL"/>
        </w:rPr>
        <w:t>compone de la siguiente manera:</w:t>
      </w:r>
    </w:p>
    <w:p w14:paraId="49337DA5" w14:textId="7E95F05B" w:rsidR="00043C59" w:rsidRPr="006A0175" w:rsidRDefault="00043C59" w:rsidP="00043C59">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lang w:val="en-US"/>
            </w:rPr>
            <m:t>A</m:t>
          </m:r>
          <m:r>
            <w:rPr>
              <w:rFonts w:ascii="Cambria Math" w:eastAsiaTheme="minorEastAsia" w:hAnsi="Cambria Math" w:cs="Times New Roman"/>
              <w:sz w:val="24"/>
              <w:szCs w:val="24"/>
            </w:rPr>
            <m:t>=C+D</m:t>
          </m:r>
        </m:oMath>
      </m:oMathPara>
    </w:p>
    <w:p w14:paraId="2B6575E7" w14:textId="431280CC" w:rsidR="00043C59" w:rsidRDefault="00E51039" w:rsidP="00F429A8">
      <w:pPr>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C corresponde</w:t>
      </w:r>
      <w:r w:rsidR="00043C59">
        <w:rPr>
          <w:rFonts w:ascii="Times New Roman" w:eastAsiaTheme="minorEastAsia" w:hAnsi="Times New Roman" w:cs="Times New Roman"/>
          <w:sz w:val="24"/>
          <w:szCs w:val="24"/>
          <w:lang w:val="es-CL"/>
        </w:rPr>
        <w:t xml:space="preserve"> al 65% que puede ser deducido de la base imponible como gasto necesario para generar la renta:</w:t>
      </w:r>
    </w:p>
    <w:p w14:paraId="20927ACC" w14:textId="73102327" w:rsidR="00043C59" w:rsidRDefault="00043C59" w:rsidP="00F429A8">
      <w:pPr>
        <w:rPr>
          <w:rFonts w:ascii="Times New Roman" w:eastAsiaTheme="minorEastAsia" w:hAnsi="Times New Roman" w:cs="Times New Roman"/>
          <w:sz w:val="24"/>
          <w:szCs w:val="24"/>
          <w:lang w:val="es-CL"/>
        </w:rPr>
      </w:pPr>
      <m:oMathPara>
        <m:oMath>
          <m:r>
            <w:rPr>
              <w:rFonts w:ascii="Cambria Math" w:eastAsiaTheme="minorEastAsia" w:hAnsi="Cambria Math" w:cs="Times New Roman"/>
              <w:sz w:val="24"/>
              <w:szCs w:val="24"/>
            </w:rPr>
            <m:t>C=</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τ∙0,65∙</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L</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GD</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CPJ</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PI</m:t>
                          </m:r>
                        </m:sup>
                      </m:sSubSup>
                      <m:r>
                        <w:rPr>
                          <w:rFonts w:ascii="Cambria Math" w:eastAsiaTheme="minorEastAsia" w:hAnsi="Cambria Math" w:cs="Times New Roman"/>
                          <w:sz w:val="24"/>
                          <w:szCs w:val="24"/>
                        </w:rPr>
                        <m:t>+((1+δ</m:t>
                      </m:r>
                    </m:e>
                    <m:sup>
                      <m:r>
                        <w:rPr>
                          <w:rFonts w:ascii="Cambria Math" w:eastAsiaTheme="minorEastAsia" w:hAnsi="Cambria Math" w:cs="Times New Roman"/>
                          <w:sz w:val="24"/>
                          <w:szCs w:val="24"/>
                        </w:rPr>
                        <m:t>TE</m:t>
                      </m:r>
                    </m:sup>
                  </m:s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TE</m:t>
                      </m:r>
                    </m:sup>
                  </m:sSubSup>
                  <m:r>
                    <w:rPr>
                      <w:rFonts w:ascii="Cambria Math" w:eastAsiaTheme="minorEastAsia" w:hAnsi="Cambria Math" w:cs="Times New Roman"/>
                      <w:sz w:val="24"/>
                      <w:szCs w:val="24"/>
                    </w:rPr>
                    <m:t>)+((1+</m:t>
                  </m:r>
                  <m:sSubSup>
                    <m:sSubSupPr>
                      <m:ctrlPr>
                        <w:rPr>
                          <w:rFonts w:ascii="Cambria Math" w:eastAsiaTheme="minorEastAsia" w:hAnsi="Cambria Math" w:cs="Times New Roman"/>
                          <w:i/>
                          <w:sz w:val="24"/>
                          <w:szCs w:val="24"/>
                        </w:rPr>
                      </m:ctrlPr>
                    </m:sSub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ME</m:t>
                          </m:r>
                        </m:sup>
                      </m:sSup>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ME</m:t>
                      </m:r>
                    </m:sup>
                  </m:sSubSup>
                </m:e>
              </m:d>
            </m:e>
          </m:d>
        </m:oMath>
      </m:oMathPara>
    </w:p>
    <w:p w14:paraId="28548BCE" w14:textId="7B754A51" w:rsidR="00043C59" w:rsidRPr="006A0175" w:rsidRDefault="00043C59" w:rsidP="00F429A8">
      <w:pPr>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D corresponde al 35% aplicado contra el impuesto de primera categoría que deben pagar las firmas:</w:t>
      </w:r>
    </w:p>
    <w:p w14:paraId="0DDFBD25" w14:textId="59A89E34" w:rsidR="00561A06" w:rsidRPr="00561A06" w:rsidRDefault="00043C59" w:rsidP="00F429A8">
      <w:pPr>
        <w:rPr>
          <w:rFonts w:ascii="Times New Roman" w:eastAsiaTheme="minorEastAsia" w:hAnsi="Times New Roman" w:cs="Times New Roman"/>
          <w:sz w:val="24"/>
          <w:szCs w:val="24"/>
          <w:lang w:val="es-CL"/>
        </w:rPr>
      </w:pPr>
      <m:oMathPara>
        <m:oMath>
          <m:r>
            <w:rPr>
              <w:rFonts w:ascii="Cambria Math" w:eastAsiaTheme="minorEastAsia" w:hAnsi="Cambria Math" w:cs="Times New Roman"/>
              <w:sz w:val="24"/>
              <w:szCs w:val="24"/>
            </w:rPr>
            <m:t>D=</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0,35∙</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L</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GD</m:t>
                      </m:r>
                    </m:sup>
                  </m:sSub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CPJ</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PI</m:t>
                          </m:r>
                        </m:sup>
                      </m:sSubSup>
                      <m:r>
                        <w:rPr>
                          <w:rFonts w:ascii="Cambria Math" w:eastAsiaTheme="minorEastAsia" w:hAnsi="Cambria Math" w:cs="Times New Roman"/>
                          <w:sz w:val="24"/>
                          <w:szCs w:val="24"/>
                        </w:rPr>
                        <m:t>+((1+δ</m:t>
                      </m:r>
                    </m:e>
                    <m:sup>
                      <m:r>
                        <w:rPr>
                          <w:rFonts w:ascii="Cambria Math" w:eastAsiaTheme="minorEastAsia" w:hAnsi="Cambria Math" w:cs="Times New Roman"/>
                          <w:sz w:val="24"/>
                          <w:szCs w:val="24"/>
                        </w:rPr>
                        <m:t>TE</m:t>
                      </m:r>
                    </m:sup>
                  </m:s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TE</m:t>
                      </m:r>
                    </m:sup>
                  </m:sSubSup>
                  <m:r>
                    <w:rPr>
                      <w:rFonts w:ascii="Cambria Math" w:eastAsiaTheme="minorEastAsia" w:hAnsi="Cambria Math" w:cs="Times New Roman"/>
                      <w:sz w:val="24"/>
                      <w:szCs w:val="24"/>
                    </w:rPr>
                    <m:t>)+((1+</m:t>
                  </m:r>
                  <m:sSubSup>
                    <m:sSubSupPr>
                      <m:ctrlPr>
                        <w:rPr>
                          <w:rFonts w:ascii="Cambria Math" w:eastAsiaTheme="minorEastAsia" w:hAnsi="Cambria Math" w:cs="Times New Roman"/>
                          <w:i/>
                          <w:sz w:val="24"/>
                          <w:szCs w:val="24"/>
                        </w:rPr>
                      </m:ctrlPr>
                    </m:sSubSup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δ</m:t>
                          </m:r>
                        </m:e>
                        <m:sup>
                          <m:r>
                            <w:rPr>
                              <w:rFonts w:ascii="Cambria Math" w:eastAsiaTheme="minorEastAsia" w:hAnsi="Cambria Math" w:cs="Times New Roman"/>
                              <w:sz w:val="24"/>
                              <w:szCs w:val="24"/>
                            </w:rPr>
                            <m:t>ME</m:t>
                          </m:r>
                        </m:sup>
                      </m:sSup>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ME</m:t>
                      </m:r>
                    </m:sup>
                  </m:sSubSup>
                </m:e>
              </m:d>
            </m:e>
          </m:d>
        </m:oMath>
      </m:oMathPara>
    </w:p>
    <w:p w14:paraId="1B7B48AC" w14:textId="2F53BCCE" w:rsidR="00561A06" w:rsidRDefault="00561A06" w:rsidP="0065589E">
      <w:pPr>
        <w:jc w:val="both"/>
        <w:rPr>
          <w:rFonts w:ascii="Times New Roman" w:eastAsiaTheme="minorEastAsia" w:hAnsi="Times New Roman" w:cs="Times New Roman"/>
          <w:sz w:val="24"/>
          <w:szCs w:val="24"/>
          <w:lang w:val="es-CL"/>
        </w:rPr>
      </w:pPr>
      <w:r w:rsidRPr="00561A06">
        <w:rPr>
          <w:rFonts w:ascii="Times New Roman" w:eastAsiaTheme="minorEastAsia" w:hAnsi="Times New Roman"/>
          <w:sz w:val="24"/>
          <w:szCs w:val="24"/>
        </w:rPr>
        <w:t>Para efectos</w:t>
      </w:r>
      <w:r w:rsidR="0065589E">
        <w:rPr>
          <w:rFonts w:ascii="Times New Roman" w:eastAsiaTheme="minorEastAsia" w:hAnsi="Times New Roman"/>
          <w:sz w:val="24"/>
          <w:szCs w:val="24"/>
        </w:rPr>
        <w:t xml:space="preserve"> de este estudio se aplicarán </w:t>
      </w:r>
      <w:r w:rsidRPr="00561A06">
        <w:rPr>
          <w:rFonts w:ascii="Times New Roman" w:eastAsiaTheme="minorEastAsia" w:hAnsi="Times New Roman"/>
          <w:sz w:val="24"/>
          <w:szCs w:val="24"/>
        </w:rPr>
        <w:t>f</w:t>
      </w:r>
      <w:r w:rsidR="0065589E">
        <w:rPr>
          <w:rFonts w:ascii="Times New Roman" w:eastAsiaTheme="minorEastAsia" w:hAnsi="Times New Roman"/>
          <w:sz w:val="24"/>
          <w:szCs w:val="24"/>
        </w:rPr>
        <w:t xml:space="preserve">actores al modelo empírico para gastos corrientes y para gastos de capital de forma separada </w:t>
      </w:r>
      <w:r w:rsidRPr="00561A06">
        <w:rPr>
          <w:rFonts w:ascii="Times New Roman" w:eastAsiaTheme="minorEastAsia" w:hAnsi="Times New Roman"/>
          <w:sz w:val="24"/>
          <w:szCs w:val="24"/>
        </w:rPr>
        <w:t>para proyectos</w:t>
      </w:r>
      <w:r w:rsidR="0065589E">
        <w:rPr>
          <w:rFonts w:ascii="Times New Roman" w:eastAsiaTheme="minorEastAsia" w:hAnsi="Times New Roman"/>
          <w:sz w:val="24"/>
          <w:szCs w:val="24"/>
        </w:rPr>
        <w:t xml:space="preserve"> de I+D intramuros y para contratos de I+D extramuros y solo bajo el régimen de la nueva Ley,</w:t>
      </w:r>
      <w:r>
        <w:rPr>
          <w:rFonts w:ascii="Times New Roman" w:eastAsiaTheme="minorEastAsia" w:hAnsi="Times New Roman"/>
          <w:sz w:val="24"/>
          <w:szCs w:val="24"/>
        </w:rPr>
        <w:t xml:space="preserve"> es decir desde </w:t>
      </w:r>
      <w:r w:rsidR="0065589E">
        <w:rPr>
          <w:rFonts w:ascii="Times New Roman" w:eastAsiaTheme="minorEastAsia" w:hAnsi="Times New Roman"/>
          <w:sz w:val="24"/>
          <w:szCs w:val="24"/>
        </w:rPr>
        <w:t xml:space="preserve">octubre de </w:t>
      </w:r>
      <w:r>
        <w:rPr>
          <w:rFonts w:ascii="Times New Roman" w:eastAsiaTheme="minorEastAsia" w:hAnsi="Times New Roman"/>
          <w:sz w:val="24"/>
          <w:szCs w:val="24"/>
        </w:rPr>
        <w:t xml:space="preserve">2012 </w:t>
      </w:r>
      <w:r w:rsidR="0065589E">
        <w:rPr>
          <w:rFonts w:ascii="Times New Roman" w:eastAsiaTheme="minorEastAsia" w:hAnsi="Times New Roman"/>
          <w:sz w:val="24"/>
          <w:szCs w:val="24"/>
        </w:rPr>
        <w:t>hasta diciembre de 2015</w:t>
      </w:r>
      <w:r w:rsidR="00AB10E4">
        <w:rPr>
          <w:rFonts w:ascii="Times New Roman" w:eastAsiaTheme="minorEastAsia" w:hAnsi="Times New Roman"/>
          <w:sz w:val="24"/>
          <w:szCs w:val="24"/>
        </w:rPr>
        <w:t xml:space="preserve"> y en base a </w:t>
      </w:r>
      <w:r w:rsidR="00AB10E4">
        <w:rPr>
          <w:rFonts w:ascii="Times New Roman" w:eastAsiaTheme="minorEastAsia" w:hAnsi="Times New Roman" w:cs="Times New Roman"/>
          <w:sz w:val="24"/>
          <w:szCs w:val="24"/>
          <w:lang w:val="es-CL"/>
        </w:rPr>
        <w:t xml:space="preserve">en base a la distribución </w:t>
      </w:r>
      <w:r w:rsidR="0065589E">
        <w:rPr>
          <w:rFonts w:ascii="Times New Roman" w:eastAsiaTheme="minorEastAsia" w:hAnsi="Times New Roman" w:cs="Times New Roman"/>
          <w:sz w:val="24"/>
          <w:szCs w:val="24"/>
          <w:lang w:val="es-CL"/>
        </w:rPr>
        <w:t xml:space="preserve">promedio </w:t>
      </w:r>
      <w:r w:rsidR="00AB10E4">
        <w:rPr>
          <w:rFonts w:ascii="Times New Roman" w:eastAsiaTheme="minorEastAsia" w:hAnsi="Times New Roman" w:cs="Times New Roman"/>
          <w:sz w:val="24"/>
          <w:szCs w:val="24"/>
          <w:lang w:val="es-CL"/>
        </w:rPr>
        <w:t>de</w:t>
      </w:r>
      <w:r w:rsidR="0065589E">
        <w:rPr>
          <w:rFonts w:ascii="Times New Roman" w:eastAsiaTheme="minorEastAsia" w:hAnsi="Times New Roman" w:cs="Times New Roman"/>
          <w:sz w:val="24"/>
          <w:szCs w:val="24"/>
          <w:lang w:val="es-CL"/>
        </w:rPr>
        <w:t xml:space="preserve"> los factores de acuerdo a los</w:t>
      </w:r>
      <w:r w:rsidR="00AB10E4">
        <w:rPr>
          <w:rFonts w:ascii="Times New Roman" w:eastAsiaTheme="minorEastAsia" w:hAnsi="Times New Roman" w:cs="Times New Roman"/>
          <w:sz w:val="24"/>
          <w:szCs w:val="24"/>
          <w:lang w:val="es-CL"/>
        </w:rPr>
        <w:t xml:space="preserve"> montos certificados</w:t>
      </w:r>
      <w:r w:rsidR="0065589E">
        <w:rPr>
          <w:rFonts w:ascii="Times New Roman" w:eastAsiaTheme="minorEastAsia" w:hAnsi="Times New Roman" w:cs="Times New Roman"/>
          <w:sz w:val="24"/>
          <w:szCs w:val="24"/>
          <w:lang w:val="es-CL"/>
        </w:rPr>
        <w:t xml:space="preserve"> por CORFO</w:t>
      </w:r>
      <w:r>
        <w:rPr>
          <w:rFonts w:ascii="Times New Roman" w:eastAsiaTheme="minorEastAsia" w:hAnsi="Times New Roman"/>
          <w:sz w:val="24"/>
          <w:szCs w:val="24"/>
        </w:rPr>
        <w:t xml:space="preserve">. </w:t>
      </w:r>
      <w:r w:rsidR="00EE5DEF">
        <w:rPr>
          <w:rFonts w:ascii="Times New Roman" w:eastAsiaTheme="minorEastAsia" w:hAnsi="Times New Roman"/>
          <w:sz w:val="24"/>
          <w:szCs w:val="24"/>
        </w:rPr>
        <w:t>El Cuadro 3</w:t>
      </w:r>
      <w:r w:rsidR="002F443F">
        <w:rPr>
          <w:rFonts w:ascii="Times New Roman" w:eastAsiaTheme="minorEastAsia" w:hAnsi="Times New Roman"/>
          <w:sz w:val="24"/>
          <w:szCs w:val="24"/>
        </w:rPr>
        <w:t>.2</w:t>
      </w:r>
      <w:r w:rsidR="0065589E">
        <w:rPr>
          <w:rFonts w:ascii="Times New Roman" w:eastAsiaTheme="minorEastAsia" w:hAnsi="Times New Roman"/>
          <w:sz w:val="24"/>
          <w:szCs w:val="24"/>
        </w:rPr>
        <w:t xml:space="preserve"> muestra estos factores:</w:t>
      </w:r>
    </w:p>
    <w:p w14:paraId="7DFE2D12" w14:textId="5BEAC3BA" w:rsidR="00561A06" w:rsidRPr="00E355D5" w:rsidRDefault="00962247" w:rsidP="0065589E">
      <w:pPr>
        <w:jc w:val="center"/>
        <w:rPr>
          <w:rFonts w:ascii="Times New Roman" w:eastAsiaTheme="minorEastAsia" w:hAnsi="Times New Roman" w:cs="Times New Roman"/>
          <w:sz w:val="24"/>
          <w:szCs w:val="24"/>
          <w:u w:val="single"/>
          <w:lang w:val="es-CL"/>
        </w:rPr>
      </w:pPr>
      <w:r w:rsidRPr="00E355D5">
        <w:rPr>
          <w:rFonts w:ascii="Times New Roman" w:eastAsiaTheme="minorEastAsia" w:hAnsi="Times New Roman" w:cs="Times New Roman"/>
          <w:sz w:val="24"/>
          <w:szCs w:val="24"/>
          <w:u w:val="single"/>
          <w:lang w:val="es-CL"/>
        </w:rPr>
        <w:t xml:space="preserve">Cuadro </w:t>
      </w:r>
      <w:r w:rsidR="005C0F1F">
        <w:rPr>
          <w:rFonts w:ascii="Times New Roman" w:eastAsiaTheme="minorEastAsia" w:hAnsi="Times New Roman" w:cs="Times New Roman"/>
          <w:sz w:val="24"/>
          <w:szCs w:val="24"/>
          <w:u w:val="single"/>
          <w:lang w:val="es-CL"/>
        </w:rPr>
        <w:t>3</w:t>
      </w:r>
      <w:r w:rsidR="00DE7F44" w:rsidRPr="00E355D5">
        <w:rPr>
          <w:rFonts w:ascii="Times New Roman" w:eastAsiaTheme="minorEastAsia" w:hAnsi="Times New Roman" w:cs="Times New Roman"/>
          <w:sz w:val="24"/>
          <w:szCs w:val="24"/>
          <w:u w:val="single"/>
          <w:lang w:val="es-CL"/>
        </w:rPr>
        <w:t>.2</w:t>
      </w:r>
      <w:r w:rsidR="0065589E" w:rsidRPr="00E355D5">
        <w:rPr>
          <w:rFonts w:ascii="Times New Roman" w:eastAsiaTheme="minorEastAsia" w:hAnsi="Times New Roman" w:cs="Times New Roman"/>
          <w:sz w:val="24"/>
          <w:szCs w:val="24"/>
          <w:u w:val="single"/>
          <w:lang w:val="es-CL"/>
        </w:rPr>
        <w:t>: Factores del modelo empírico proyectos y contratos</w:t>
      </w:r>
    </w:p>
    <w:tbl>
      <w:tblPr>
        <w:tblW w:w="7923" w:type="dxa"/>
        <w:jc w:val="center"/>
        <w:tblCellMar>
          <w:left w:w="70" w:type="dxa"/>
          <w:right w:w="70" w:type="dxa"/>
        </w:tblCellMar>
        <w:tblLook w:val="04A0" w:firstRow="1" w:lastRow="0" w:firstColumn="1" w:lastColumn="0" w:noHBand="0" w:noVBand="1"/>
      </w:tblPr>
      <w:tblGrid>
        <w:gridCol w:w="1195"/>
        <w:gridCol w:w="1499"/>
        <w:gridCol w:w="1134"/>
        <w:gridCol w:w="992"/>
        <w:gridCol w:w="1134"/>
        <w:gridCol w:w="1370"/>
        <w:gridCol w:w="599"/>
      </w:tblGrid>
      <w:tr w:rsidR="003704E9" w:rsidRPr="006A0175" w14:paraId="0B10A36E" w14:textId="031E01E9" w:rsidTr="003704E9">
        <w:trPr>
          <w:trHeight w:val="365"/>
          <w:jc w:val="center"/>
        </w:trPr>
        <w:tc>
          <w:tcPr>
            <w:tcW w:w="1195" w:type="dxa"/>
            <w:tcBorders>
              <w:top w:val="single" w:sz="4" w:space="0" w:color="auto"/>
              <w:left w:val="nil"/>
              <w:bottom w:val="double" w:sz="6" w:space="0" w:color="auto"/>
              <w:right w:val="nil"/>
            </w:tcBorders>
          </w:tcPr>
          <w:p w14:paraId="68DB57A4" w14:textId="77777777" w:rsidR="003704E9" w:rsidRPr="006A0175"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p>
        </w:tc>
        <w:tc>
          <w:tcPr>
            <w:tcW w:w="1499" w:type="dxa"/>
            <w:tcBorders>
              <w:top w:val="single" w:sz="4" w:space="0" w:color="auto"/>
              <w:left w:val="nil"/>
              <w:bottom w:val="double" w:sz="6" w:space="0" w:color="auto"/>
              <w:right w:val="nil"/>
            </w:tcBorders>
            <w:shd w:val="clear" w:color="auto" w:fill="auto"/>
            <w:vAlign w:val="center"/>
            <w:hideMark/>
          </w:tcPr>
          <w:p w14:paraId="4FAD0899" w14:textId="428A1AB8" w:rsidR="003704E9" w:rsidRPr="006A0175"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L</m:t>
                  </m:r>
                </m:sup>
              </m:sSubSup>
            </m:oMath>
            <w:r>
              <w:rPr>
                <w:rFonts w:ascii="Times New Roman" w:eastAsia="Times New Roman" w:hAnsi="Times New Roman" w:cs="Times New Roman"/>
                <w:sz w:val="24"/>
                <w:szCs w:val="24"/>
              </w:rPr>
              <w:t xml:space="preserve"> </w:t>
            </w:r>
          </w:p>
        </w:tc>
        <w:tc>
          <w:tcPr>
            <w:tcW w:w="1134" w:type="dxa"/>
            <w:tcBorders>
              <w:top w:val="single" w:sz="4" w:space="0" w:color="auto"/>
              <w:left w:val="nil"/>
              <w:bottom w:val="double" w:sz="6" w:space="0" w:color="auto"/>
              <w:right w:val="nil"/>
            </w:tcBorders>
          </w:tcPr>
          <w:p w14:paraId="64B76949" w14:textId="2073C9BD" w:rsidR="003704E9" w:rsidRPr="006A0175" w:rsidRDefault="00CE39D4" w:rsidP="00DA0D79">
            <w:pPr>
              <w:spacing w:after="0" w:line="240" w:lineRule="auto"/>
              <w:jc w:val="center"/>
              <w:rPr>
                <w:rFonts w:ascii="Times New Roman" w:eastAsia="Times New Roman" w:hAnsi="Times New Roman" w:cs="Times New Roman"/>
                <w:color w:val="000000"/>
                <w:sz w:val="24"/>
                <w:szCs w:val="24"/>
                <w:lang w:val="es-CL" w:eastAsia="es-CL"/>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GD</m:t>
                    </m:r>
                  </m:sup>
                </m:sSubSup>
              </m:oMath>
            </m:oMathPara>
          </w:p>
        </w:tc>
        <w:tc>
          <w:tcPr>
            <w:tcW w:w="992" w:type="dxa"/>
            <w:tcBorders>
              <w:top w:val="single" w:sz="4" w:space="0" w:color="auto"/>
              <w:left w:val="nil"/>
              <w:bottom w:val="double" w:sz="6" w:space="0" w:color="auto"/>
              <w:right w:val="nil"/>
            </w:tcBorders>
          </w:tcPr>
          <w:p w14:paraId="17B05708" w14:textId="6E6B5DCD" w:rsidR="003704E9" w:rsidRDefault="00CE39D4" w:rsidP="00DE7F44">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CPJ</m:t>
                    </m:r>
                  </m:sup>
                </m:sSubSup>
              </m:oMath>
            </m:oMathPara>
          </w:p>
        </w:tc>
        <w:tc>
          <w:tcPr>
            <w:tcW w:w="1134" w:type="dxa"/>
            <w:tcBorders>
              <w:top w:val="single" w:sz="4" w:space="0" w:color="auto"/>
              <w:left w:val="nil"/>
              <w:bottom w:val="double" w:sz="6" w:space="0" w:color="auto"/>
              <w:right w:val="nil"/>
            </w:tcBorders>
          </w:tcPr>
          <w:p w14:paraId="2158D6D6" w14:textId="11C5F42D" w:rsidR="003704E9" w:rsidRDefault="00CE39D4" w:rsidP="00DE7F44">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PI</m:t>
                    </m:r>
                  </m:sup>
                </m:sSubSup>
              </m:oMath>
            </m:oMathPara>
          </w:p>
        </w:tc>
        <w:tc>
          <w:tcPr>
            <w:tcW w:w="1370" w:type="dxa"/>
            <w:tcBorders>
              <w:top w:val="single" w:sz="4" w:space="0" w:color="auto"/>
              <w:left w:val="nil"/>
              <w:bottom w:val="double" w:sz="6" w:space="0" w:color="auto"/>
              <w:right w:val="nil"/>
            </w:tcBorders>
          </w:tcPr>
          <w:p w14:paraId="33E68C77" w14:textId="5C3A3E72" w:rsidR="003704E9" w:rsidRDefault="00CE39D4" w:rsidP="00DE7F44">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TE</m:t>
                    </m:r>
                  </m:sup>
                </m:sSubSup>
              </m:oMath>
            </m:oMathPara>
          </w:p>
        </w:tc>
        <w:tc>
          <w:tcPr>
            <w:tcW w:w="599" w:type="dxa"/>
            <w:tcBorders>
              <w:top w:val="single" w:sz="4" w:space="0" w:color="auto"/>
              <w:left w:val="nil"/>
              <w:bottom w:val="double" w:sz="6" w:space="0" w:color="auto"/>
              <w:right w:val="nil"/>
            </w:tcBorders>
          </w:tcPr>
          <w:p w14:paraId="643D7005" w14:textId="6978128B" w:rsidR="003704E9" w:rsidRDefault="00CE39D4" w:rsidP="00DE7F44">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ME</m:t>
                    </m:r>
                  </m:sup>
                </m:sSubSup>
              </m:oMath>
            </m:oMathPara>
          </w:p>
        </w:tc>
      </w:tr>
      <w:tr w:rsidR="003704E9" w:rsidRPr="006A0175" w14:paraId="1AF20598" w14:textId="23FF6EBF" w:rsidTr="003704E9">
        <w:trPr>
          <w:trHeight w:val="330"/>
          <w:jc w:val="center"/>
        </w:trPr>
        <w:tc>
          <w:tcPr>
            <w:tcW w:w="1195" w:type="dxa"/>
            <w:tcBorders>
              <w:top w:val="nil"/>
              <w:left w:val="nil"/>
              <w:bottom w:val="nil"/>
              <w:right w:val="nil"/>
            </w:tcBorders>
          </w:tcPr>
          <w:p w14:paraId="34E5250F" w14:textId="0A391897"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Proyectos</w:t>
            </w:r>
          </w:p>
        </w:tc>
        <w:tc>
          <w:tcPr>
            <w:tcW w:w="1499" w:type="dxa"/>
            <w:tcBorders>
              <w:top w:val="nil"/>
              <w:left w:val="nil"/>
              <w:bottom w:val="nil"/>
              <w:right w:val="nil"/>
            </w:tcBorders>
            <w:shd w:val="clear" w:color="auto" w:fill="auto"/>
            <w:noWrap/>
            <w:vAlign w:val="center"/>
            <w:hideMark/>
          </w:tcPr>
          <w:p w14:paraId="185A61CB" w14:textId="72EF2D2A" w:rsidR="003704E9" w:rsidRPr="006A0175"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31,1</w:t>
            </w:r>
          </w:p>
        </w:tc>
        <w:tc>
          <w:tcPr>
            <w:tcW w:w="1134" w:type="dxa"/>
            <w:tcBorders>
              <w:top w:val="nil"/>
              <w:left w:val="nil"/>
              <w:bottom w:val="nil"/>
              <w:right w:val="nil"/>
            </w:tcBorders>
          </w:tcPr>
          <w:p w14:paraId="52C21A3C" w14:textId="50230A41"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20,3</w:t>
            </w:r>
          </w:p>
        </w:tc>
        <w:tc>
          <w:tcPr>
            <w:tcW w:w="992" w:type="dxa"/>
            <w:tcBorders>
              <w:top w:val="nil"/>
              <w:left w:val="nil"/>
              <w:bottom w:val="nil"/>
              <w:right w:val="nil"/>
            </w:tcBorders>
          </w:tcPr>
          <w:p w14:paraId="35179A73" w14:textId="27B78FEE"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35,0</w:t>
            </w:r>
          </w:p>
        </w:tc>
        <w:tc>
          <w:tcPr>
            <w:tcW w:w="1134" w:type="dxa"/>
            <w:tcBorders>
              <w:top w:val="nil"/>
              <w:left w:val="nil"/>
              <w:bottom w:val="nil"/>
              <w:right w:val="nil"/>
            </w:tcBorders>
          </w:tcPr>
          <w:p w14:paraId="1345941E" w14:textId="7572D8E2"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1,2</w:t>
            </w:r>
          </w:p>
        </w:tc>
        <w:tc>
          <w:tcPr>
            <w:tcW w:w="1370" w:type="dxa"/>
            <w:tcBorders>
              <w:top w:val="nil"/>
              <w:left w:val="nil"/>
              <w:bottom w:val="nil"/>
              <w:right w:val="nil"/>
            </w:tcBorders>
          </w:tcPr>
          <w:p w14:paraId="6CBFE103" w14:textId="1C41484E"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5,2</w:t>
            </w:r>
          </w:p>
        </w:tc>
        <w:tc>
          <w:tcPr>
            <w:tcW w:w="599" w:type="dxa"/>
            <w:tcBorders>
              <w:top w:val="nil"/>
              <w:left w:val="nil"/>
              <w:bottom w:val="nil"/>
              <w:right w:val="nil"/>
            </w:tcBorders>
          </w:tcPr>
          <w:p w14:paraId="092529A9" w14:textId="7151A027" w:rsidR="003704E9" w:rsidRDefault="003704E9"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7,2</w:t>
            </w:r>
          </w:p>
        </w:tc>
      </w:tr>
      <w:tr w:rsidR="003704E9" w:rsidRPr="006A0175" w14:paraId="6FF5BFDD" w14:textId="71BC0040" w:rsidTr="003704E9">
        <w:trPr>
          <w:trHeight w:val="315"/>
          <w:jc w:val="center"/>
        </w:trPr>
        <w:tc>
          <w:tcPr>
            <w:tcW w:w="1195" w:type="dxa"/>
            <w:tcBorders>
              <w:top w:val="nil"/>
              <w:left w:val="nil"/>
              <w:bottom w:val="single" w:sz="4" w:space="0" w:color="auto"/>
              <w:right w:val="nil"/>
            </w:tcBorders>
          </w:tcPr>
          <w:p w14:paraId="799F6BEB" w14:textId="21637364"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Contratos</w:t>
            </w:r>
          </w:p>
        </w:tc>
        <w:tc>
          <w:tcPr>
            <w:tcW w:w="1499" w:type="dxa"/>
            <w:tcBorders>
              <w:top w:val="nil"/>
              <w:left w:val="nil"/>
              <w:bottom w:val="single" w:sz="4" w:space="0" w:color="auto"/>
              <w:right w:val="nil"/>
            </w:tcBorders>
            <w:shd w:val="clear" w:color="auto" w:fill="auto"/>
            <w:noWrap/>
            <w:vAlign w:val="center"/>
            <w:hideMark/>
          </w:tcPr>
          <w:p w14:paraId="3AA953E3" w14:textId="3182C8FF" w:rsidR="003704E9" w:rsidRPr="006A0175"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0</w:t>
            </w:r>
          </w:p>
        </w:tc>
        <w:tc>
          <w:tcPr>
            <w:tcW w:w="1134" w:type="dxa"/>
            <w:tcBorders>
              <w:top w:val="nil"/>
              <w:left w:val="nil"/>
              <w:bottom w:val="single" w:sz="4" w:space="0" w:color="auto"/>
              <w:right w:val="nil"/>
            </w:tcBorders>
          </w:tcPr>
          <w:p w14:paraId="5D184993" w14:textId="6B4D31A8"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0</w:t>
            </w:r>
          </w:p>
        </w:tc>
        <w:tc>
          <w:tcPr>
            <w:tcW w:w="992" w:type="dxa"/>
            <w:tcBorders>
              <w:top w:val="nil"/>
              <w:left w:val="nil"/>
              <w:bottom w:val="single" w:sz="4" w:space="0" w:color="auto"/>
              <w:right w:val="nil"/>
            </w:tcBorders>
          </w:tcPr>
          <w:p w14:paraId="6FC01AAE" w14:textId="6C99EFB3"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100</w:t>
            </w:r>
          </w:p>
        </w:tc>
        <w:tc>
          <w:tcPr>
            <w:tcW w:w="1134" w:type="dxa"/>
            <w:tcBorders>
              <w:top w:val="nil"/>
              <w:left w:val="nil"/>
              <w:bottom w:val="single" w:sz="4" w:space="0" w:color="auto"/>
              <w:right w:val="nil"/>
            </w:tcBorders>
          </w:tcPr>
          <w:p w14:paraId="681364E9" w14:textId="6379E231"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0</w:t>
            </w:r>
          </w:p>
        </w:tc>
        <w:tc>
          <w:tcPr>
            <w:tcW w:w="1370" w:type="dxa"/>
            <w:tcBorders>
              <w:top w:val="nil"/>
              <w:left w:val="nil"/>
              <w:bottom w:val="single" w:sz="4" w:space="0" w:color="auto"/>
              <w:right w:val="nil"/>
            </w:tcBorders>
          </w:tcPr>
          <w:p w14:paraId="5400568C" w14:textId="55E74C8A"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0</w:t>
            </w:r>
          </w:p>
        </w:tc>
        <w:tc>
          <w:tcPr>
            <w:tcW w:w="599" w:type="dxa"/>
            <w:tcBorders>
              <w:top w:val="nil"/>
              <w:left w:val="nil"/>
              <w:bottom w:val="single" w:sz="4" w:space="0" w:color="auto"/>
              <w:right w:val="nil"/>
            </w:tcBorders>
          </w:tcPr>
          <w:p w14:paraId="60B5E45F" w14:textId="257022B3" w:rsidR="003704E9" w:rsidRDefault="003704E9"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0</w:t>
            </w:r>
          </w:p>
        </w:tc>
      </w:tr>
    </w:tbl>
    <w:p w14:paraId="7E34EE75" w14:textId="77777777" w:rsidR="00DE7F44" w:rsidRDefault="00DE7F44" w:rsidP="0065589E">
      <w:pPr>
        <w:jc w:val="center"/>
        <w:rPr>
          <w:rFonts w:ascii="Times New Roman" w:eastAsiaTheme="minorEastAsia" w:hAnsi="Times New Roman" w:cs="Times New Roman"/>
          <w:sz w:val="24"/>
          <w:szCs w:val="24"/>
          <w:lang w:val="es-CL"/>
        </w:rPr>
      </w:pPr>
    </w:p>
    <w:p w14:paraId="1562369A" w14:textId="069C31AA" w:rsidR="0065589E" w:rsidRDefault="008B6CD9" w:rsidP="008B6CD9">
      <w:pPr>
        <w:jc w:val="both"/>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 xml:space="preserve">Lógicamente el único ponderador de contratos extramuros </w:t>
      </w:r>
      <w:r w:rsidR="004C65A6">
        <w:rPr>
          <w:rFonts w:ascii="Times New Roman" w:eastAsiaTheme="minorEastAsia" w:hAnsi="Times New Roman" w:cs="Times New Roman"/>
          <w:sz w:val="24"/>
          <w:szCs w:val="24"/>
          <w:lang w:val="es-CL"/>
        </w:rPr>
        <w:t xml:space="preserve">que es </w:t>
      </w:r>
      <w:r>
        <w:rPr>
          <w:rFonts w:ascii="Times New Roman" w:eastAsiaTheme="minorEastAsia" w:hAnsi="Times New Roman" w:cs="Times New Roman"/>
          <w:sz w:val="24"/>
          <w:szCs w:val="24"/>
          <w:lang w:val="es-CL"/>
        </w:rPr>
        <w:t>distinto de cero es</w:t>
      </w:r>
      <w:r w:rsidR="004C65A6">
        <w:rPr>
          <w:rFonts w:ascii="Times New Roman" w:eastAsiaTheme="minorEastAsia" w:hAnsi="Times New Roman" w:cs="Times New Roman"/>
          <w:sz w:val="24"/>
          <w:szCs w:val="24"/>
          <w:lang w:val="es-CL"/>
        </w:rPr>
        <w:t xml:space="preserve"> la contratación de otras personas jurídicas. El ponderador mayor es la cantidad de recursos certificados por empresas para subcontratar servicios, seguido de costos laborales y gatos directos del proyecto. Sorprende los escasos recursos como proporción del total que las empresas dedican a proteger su propiedad industrial. El total de gastos de capital alcanza un </w:t>
      </w:r>
      <w:r w:rsidR="00585A05">
        <w:rPr>
          <w:rFonts w:ascii="Times New Roman" w:eastAsiaTheme="minorEastAsia" w:hAnsi="Times New Roman" w:cs="Times New Roman"/>
          <w:sz w:val="24"/>
          <w:szCs w:val="24"/>
          <w:lang w:val="es-CL"/>
        </w:rPr>
        <w:t>12,4%, con superioridad de maquinaria y equipamiento sobre el uso de terrenos y edificios. Con los datos disponibles no es posible analizar la cantidad de recursos destinados a softwares. Los resultados del B-</w:t>
      </w:r>
      <w:proofErr w:type="spellStart"/>
      <w:r w:rsidR="00585A05">
        <w:rPr>
          <w:rFonts w:ascii="Times New Roman" w:eastAsiaTheme="minorEastAsia" w:hAnsi="Times New Roman" w:cs="Times New Roman"/>
          <w:sz w:val="24"/>
          <w:szCs w:val="24"/>
          <w:lang w:val="es-CL"/>
        </w:rPr>
        <w:t>index</w:t>
      </w:r>
      <w:proofErr w:type="spellEnd"/>
      <w:r w:rsidR="00585A05">
        <w:rPr>
          <w:rFonts w:ascii="Times New Roman" w:eastAsiaTheme="minorEastAsia" w:hAnsi="Times New Roman" w:cs="Times New Roman"/>
          <w:sz w:val="24"/>
          <w:szCs w:val="24"/>
          <w:lang w:val="es-CL"/>
        </w:rPr>
        <w:t xml:space="preserve"> separados por tipo de ejecución de I+D y en su </w:t>
      </w:r>
      <w:r w:rsidR="00585A05">
        <w:rPr>
          <w:rFonts w:ascii="Times New Roman" w:eastAsiaTheme="minorEastAsia" w:hAnsi="Times New Roman" w:cs="Times New Roman"/>
          <w:sz w:val="24"/>
          <w:szCs w:val="24"/>
          <w:lang w:val="es-CL"/>
        </w:rPr>
        <w:lastRenderedPageBreak/>
        <w:t xml:space="preserve">conjunto ponderado </w:t>
      </w:r>
      <w:r w:rsidR="002F443F">
        <w:rPr>
          <w:rFonts w:ascii="Times New Roman" w:eastAsiaTheme="minorEastAsia" w:hAnsi="Times New Roman" w:cs="Times New Roman"/>
          <w:sz w:val="24"/>
          <w:szCs w:val="24"/>
          <w:lang w:val="es-CL"/>
        </w:rPr>
        <w:t>por su importancia en los montos certificados</w:t>
      </w:r>
      <w:r w:rsidR="00EE5DEF">
        <w:rPr>
          <w:rFonts w:ascii="Times New Roman" w:eastAsiaTheme="minorEastAsia" w:hAnsi="Times New Roman" w:cs="Times New Roman"/>
          <w:sz w:val="24"/>
          <w:szCs w:val="24"/>
          <w:lang w:val="es-CL"/>
        </w:rPr>
        <w:t>, son presentados en el Cuadro 3</w:t>
      </w:r>
      <w:r w:rsidR="002F443F">
        <w:rPr>
          <w:rFonts w:ascii="Times New Roman" w:eastAsiaTheme="minorEastAsia" w:hAnsi="Times New Roman" w:cs="Times New Roman"/>
          <w:sz w:val="24"/>
          <w:szCs w:val="24"/>
          <w:lang w:val="es-CL"/>
        </w:rPr>
        <w:t>.3.</w:t>
      </w:r>
    </w:p>
    <w:p w14:paraId="0EA29A95" w14:textId="7F15A8AC" w:rsidR="00E51039" w:rsidRPr="00E355D5" w:rsidRDefault="005C0F1F" w:rsidP="002F443F">
      <w:pPr>
        <w:jc w:val="center"/>
        <w:rPr>
          <w:rFonts w:ascii="Times New Roman" w:eastAsiaTheme="minorEastAsia" w:hAnsi="Times New Roman" w:cs="Times New Roman"/>
          <w:sz w:val="24"/>
          <w:szCs w:val="24"/>
          <w:u w:val="single"/>
          <w:lang w:val="es-CL"/>
        </w:rPr>
      </w:pPr>
      <w:r>
        <w:rPr>
          <w:rFonts w:ascii="Times New Roman" w:eastAsiaTheme="minorEastAsia" w:hAnsi="Times New Roman" w:cs="Times New Roman"/>
          <w:sz w:val="24"/>
          <w:szCs w:val="24"/>
          <w:u w:val="single"/>
          <w:lang w:val="es-CL"/>
        </w:rPr>
        <w:t>Cuadro 3</w:t>
      </w:r>
      <w:r w:rsidR="002F443F" w:rsidRPr="00E355D5">
        <w:rPr>
          <w:rFonts w:ascii="Times New Roman" w:eastAsiaTheme="minorEastAsia" w:hAnsi="Times New Roman" w:cs="Times New Roman"/>
          <w:sz w:val="24"/>
          <w:szCs w:val="24"/>
          <w:u w:val="single"/>
          <w:lang w:val="es-CL"/>
        </w:rPr>
        <w:t>.3:</w:t>
      </w:r>
      <w:r w:rsidR="00E51039" w:rsidRPr="00E355D5">
        <w:rPr>
          <w:rFonts w:ascii="Times New Roman" w:eastAsiaTheme="minorEastAsia" w:hAnsi="Times New Roman" w:cs="Times New Roman"/>
          <w:sz w:val="24"/>
          <w:szCs w:val="24"/>
          <w:u w:val="single"/>
          <w:lang w:val="es-CL"/>
        </w:rPr>
        <w:t xml:space="preserve"> </w:t>
      </w:r>
      <w:r w:rsidR="002F443F" w:rsidRPr="00E355D5">
        <w:rPr>
          <w:rFonts w:ascii="Times New Roman" w:eastAsiaTheme="minorEastAsia" w:hAnsi="Times New Roman" w:cs="Times New Roman"/>
          <w:sz w:val="24"/>
          <w:szCs w:val="24"/>
          <w:u w:val="single"/>
          <w:lang w:val="es-CL"/>
        </w:rPr>
        <w:t>B-</w:t>
      </w:r>
      <w:proofErr w:type="spellStart"/>
      <w:r w:rsidR="00E51039" w:rsidRPr="00E355D5">
        <w:rPr>
          <w:rFonts w:ascii="Times New Roman" w:eastAsiaTheme="minorEastAsia" w:hAnsi="Times New Roman" w:cs="Times New Roman"/>
          <w:sz w:val="24"/>
          <w:szCs w:val="24"/>
          <w:u w:val="single"/>
          <w:lang w:val="es-CL"/>
        </w:rPr>
        <w:t>index</w:t>
      </w:r>
      <w:proofErr w:type="spellEnd"/>
      <w:r w:rsidR="00E51039" w:rsidRPr="00E355D5">
        <w:rPr>
          <w:rFonts w:ascii="Times New Roman" w:eastAsiaTheme="minorEastAsia" w:hAnsi="Times New Roman" w:cs="Times New Roman"/>
          <w:sz w:val="24"/>
          <w:szCs w:val="24"/>
          <w:u w:val="single"/>
          <w:lang w:val="es-CL"/>
        </w:rPr>
        <w:t xml:space="preserve"> </w:t>
      </w:r>
      <w:r w:rsidR="002F443F" w:rsidRPr="00E355D5">
        <w:rPr>
          <w:rFonts w:ascii="Times New Roman" w:eastAsiaTheme="minorEastAsia" w:hAnsi="Times New Roman" w:cs="Times New Roman"/>
          <w:sz w:val="24"/>
          <w:szCs w:val="24"/>
          <w:u w:val="single"/>
          <w:lang w:val="es-CL"/>
        </w:rPr>
        <w:t>por tipo de I+D y en su conjunto</w:t>
      </w:r>
    </w:p>
    <w:tbl>
      <w:tblPr>
        <w:tblW w:w="4850" w:type="dxa"/>
        <w:jc w:val="center"/>
        <w:tblCellMar>
          <w:left w:w="70" w:type="dxa"/>
          <w:right w:w="70" w:type="dxa"/>
        </w:tblCellMar>
        <w:tblLook w:val="04A0" w:firstRow="1" w:lastRow="0" w:firstColumn="1" w:lastColumn="0" w:noHBand="0" w:noVBand="1"/>
      </w:tblPr>
      <w:tblGrid>
        <w:gridCol w:w="1184"/>
        <w:gridCol w:w="1499"/>
        <w:gridCol w:w="1133"/>
        <w:gridCol w:w="1034"/>
      </w:tblGrid>
      <w:tr w:rsidR="002F443F" w:rsidRPr="006A0175" w14:paraId="02D30CD6" w14:textId="77777777" w:rsidTr="002F443F">
        <w:trPr>
          <w:trHeight w:val="365"/>
          <w:jc w:val="center"/>
        </w:trPr>
        <w:tc>
          <w:tcPr>
            <w:tcW w:w="1184" w:type="dxa"/>
            <w:tcBorders>
              <w:top w:val="single" w:sz="4" w:space="0" w:color="auto"/>
              <w:left w:val="nil"/>
              <w:bottom w:val="double" w:sz="6" w:space="0" w:color="auto"/>
              <w:right w:val="nil"/>
            </w:tcBorders>
          </w:tcPr>
          <w:p w14:paraId="421E2FB3" w14:textId="77777777" w:rsidR="002F443F" w:rsidRPr="006A0175"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p>
        </w:tc>
        <w:tc>
          <w:tcPr>
            <w:tcW w:w="1499" w:type="dxa"/>
            <w:tcBorders>
              <w:top w:val="single" w:sz="4" w:space="0" w:color="auto"/>
              <w:left w:val="nil"/>
              <w:bottom w:val="double" w:sz="6" w:space="0" w:color="auto"/>
              <w:right w:val="nil"/>
            </w:tcBorders>
            <w:shd w:val="clear" w:color="auto" w:fill="auto"/>
            <w:vAlign w:val="center"/>
            <w:hideMark/>
          </w:tcPr>
          <w:p w14:paraId="1B18B42E" w14:textId="1EF0FD55" w:rsidR="002F443F" w:rsidRPr="006A0175" w:rsidRDefault="002F443F" w:rsidP="002F443F">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 xml:space="preserve"> </w:t>
            </w:r>
            <w:r>
              <w:rPr>
                <w:rFonts w:ascii="Times New Roman" w:eastAsia="Times New Roman" w:hAnsi="Times New Roman" w:cs="Times New Roman"/>
                <w:color w:val="000000"/>
                <w:sz w:val="24"/>
                <w:szCs w:val="24"/>
                <w:lang w:val="es-CL" w:eastAsia="es-CL"/>
              </w:rPr>
              <w:t>Proyectos</w:t>
            </w:r>
          </w:p>
        </w:tc>
        <w:tc>
          <w:tcPr>
            <w:tcW w:w="1133" w:type="dxa"/>
            <w:tcBorders>
              <w:top w:val="single" w:sz="4" w:space="0" w:color="auto"/>
              <w:left w:val="nil"/>
              <w:bottom w:val="double" w:sz="6" w:space="0" w:color="auto"/>
              <w:right w:val="nil"/>
            </w:tcBorders>
          </w:tcPr>
          <w:p w14:paraId="1DC50D7F" w14:textId="1E0F20D4" w:rsidR="002F443F" w:rsidRPr="006A0175"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Contratos</w:t>
            </w:r>
          </w:p>
        </w:tc>
        <w:tc>
          <w:tcPr>
            <w:tcW w:w="1034" w:type="dxa"/>
            <w:tcBorders>
              <w:top w:val="single" w:sz="4" w:space="0" w:color="auto"/>
              <w:left w:val="nil"/>
              <w:bottom w:val="double" w:sz="6" w:space="0" w:color="auto"/>
              <w:right w:val="nil"/>
            </w:tcBorders>
          </w:tcPr>
          <w:p w14:paraId="2BA3913D" w14:textId="7335E771" w:rsidR="002F443F" w:rsidRDefault="002F443F" w:rsidP="00DA0D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Conjunto</w:t>
            </w:r>
          </w:p>
        </w:tc>
      </w:tr>
      <w:tr w:rsidR="002F443F" w:rsidRPr="006A0175" w14:paraId="2F1EA96D" w14:textId="77777777" w:rsidTr="002F443F">
        <w:trPr>
          <w:trHeight w:val="330"/>
          <w:jc w:val="center"/>
        </w:trPr>
        <w:tc>
          <w:tcPr>
            <w:tcW w:w="1184" w:type="dxa"/>
            <w:tcBorders>
              <w:top w:val="nil"/>
              <w:left w:val="nil"/>
              <w:bottom w:val="nil"/>
              <w:right w:val="nil"/>
            </w:tcBorders>
          </w:tcPr>
          <w:p w14:paraId="75A00C9C" w14:textId="686AED4E" w:rsidR="002F443F" w:rsidRDefault="002F443F" w:rsidP="002F443F">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B-</w:t>
            </w:r>
            <w:proofErr w:type="spellStart"/>
            <w:r>
              <w:rPr>
                <w:rFonts w:ascii="Times New Roman" w:eastAsia="Times New Roman" w:hAnsi="Times New Roman" w:cs="Times New Roman"/>
                <w:sz w:val="24"/>
                <w:szCs w:val="24"/>
                <w:lang w:val="es-CL" w:eastAsia="es-CL"/>
              </w:rPr>
              <w:t>Index</w:t>
            </w:r>
            <w:proofErr w:type="spellEnd"/>
          </w:p>
        </w:tc>
        <w:tc>
          <w:tcPr>
            <w:tcW w:w="1499" w:type="dxa"/>
            <w:tcBorders>
              <w:top w:val="nil"/>
              <w:left w:val="nil"/>
              <w:bottom w:val="nil"/>
              <w:right w:val="nil"/>
            </w:tcBorders>
            <w:shd w:val="clear" w:color="auto" w:fill="auto"/>
            <w:noWrap/>
            <w:vAlign w:val="center"/>
            <w:hideMark/>
          </w:tcPr>
          <w:p w14:paraId="1810B696" w14:textId="7504696F" w:rsidR="002F443F" w:rsidRPr="006A0175" w:rsidRDefault="002F443F"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0,646</w:t>
            </w:r>
          </w:p>
        </w:tc>
        <w:tc>
          <w:tcPr>
            <w:tcW w:w="1133" w:type="dxa"/>
            <w:tcBorders>
              <w:top w:val="nil"/>
              <w:left w:val="nil"/>
              <w:bottom w:val="nil"/>
              <w:right w:val="nil"/>
            </w:tcBorders>
          </w:tcPr>
          <w:p w14:paraId="543950EA" w14:textId="11CFAA36" w:rsidR="002F443F" w:rsidRDefault="002F443F" w:rsidP="002F443F">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0,650</w:t>
            </w:r>
          </w:p>
        </w:tc>
        <w:tc>
          <w:tcPr>
            <w:tcW w:w="1034" w:type="dxa"/>
            <w:tcBorders>
              <w:top w:val="nil"/>
              <w:left w:val="nil"/>
              <w:bottom w:val="nil"/>
              <w:right w:val="nil"/>
            </w:tcBorders>
          </w:tcPr>
          <w:p w14:paraId="35E1F23B" w14:textId="36ADBAD9" w:rsidR="002F443F" w:rsidRDefault="002F443F" w:rsidP="00DA0D7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0,646</w:t>
            </w:r>
          </w:p>
        </w:tc>
      </w:tr>
      <w:tr w:rsidR="002F443F" w:rsidRPr="006A0175" w14:paraId="6628B98A" w14:textId="77777777" w:rsidTr="002F443F">
        <w:trPr>
          <w:trHeight w:val="315"/>
          <w:jc w:val="center"/>
        </w:trPr>
        <w:tc>
          <w:tcPr>
            <w:tcW w:w="1184" w:type="dxa"/>
            <w:tcBorders>
              <w:top w:val="nil"/>
              <w:left w:val="nil"/>
              <w:bottom w:val="single" w:sz="4" w:space="0" w:color="auto"/>
              <w:right w:val="nil"/>
            </w:tcBorders>
          </w:tcPr>
          <w:p w14:paraId="46567DA9" w14:textId="30A8417A" w:rsidR="002F443F"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p>
        </w:tc>
        <w:tc>
          <w:tcPr>
            <w:tcW w:w="1499" w:type="dxa"/>
            <w:tcBorders>
              <w:top w:val="nil"/>
              <w:left w:val="nil"/>
              <w:bottom w:val="single" w:sz="4" w:space="0" w:color="auto"/>
              <w:right w:val="nil"/>
            </w:tcBorders>
            <w:shd w:val="clear" w:color="auto" w:fill="auto"/>
            <w:noWrap/>
            <w:vAlign w:val="center"/>
          </w:tcPr>
          <w:p w14:paraId="7F1F85AC" w14:textId="54BB4DE6" w:rsidR="002F443F" w:rsidRPr="006A0175"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p>
        </w:tc>
        <w:tc>
          <w:tcPr>
            <w:tcW w:w="1133" w:type="dxa"/>
            <w:tcBorders>
              <w:top w:val="nil"/>
              <w:left w:val="nil"/>
              <w:bottom w:val="single" w:sz="4" w:space="0" w:color="auto"/>
              <w:right w:val="nil"/>
            </w:tcBorders>
          </w:tcPr>
          <w:p w14:paraId="77580A0C" w14:textId="4CB19C05" w:rsidR="002F443F"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p>
        </w:tc>
        <w:tc>
          <w:tcPr>
            <w:tcW w:w="1034" w:type="dxa"/>
            <w:tcBorders>
              <w:top w:val="nil"/>
              <w:left w:val="nil"/>
              <w:bottom w:val="single" w:sz="4" w:space="0" w:color="auto"/>
              <w:right w:val="nil"/>
            </w:tcBorders>
          </w:tcPr>
          <w:p w14:paraId="0786643A" w14:textId="679EA876" w:rsidR="002F443F" w:rsidRDefault="002F443F" w:rsidP="00DA0D79">
            <w:pPr>
              <w:spacing w:after="0" w:line="240" w:lineRule="auto"/>
              <w:jc w:val="center"/>
              <w:rPr>
                <w:rFonts w:ascii="Times New Roman" w:eastAsia="Times New Roman" w:hAnsi="Times New Roman" w:cs="Times New Roman"/>
                <w:color w:val="000000"/>
                <w:sz w:val="24"/>
                <w:szCs w:val="24"/>
                <w:lang w:val="es-CL" w:eastAsia="es-CL"/>
              </w:rPr>
            </w:pPr>
          </w:p>
        </w:tc>
      </w:tr>
    </w:tbl>
    <w:p w14:paraId="2FEC1306" w14:textId="023F42B8" w:rsidR="00E51039" w:rsidRDefault="00E51039" w:rsidP="00E51039">
      <w:pPr>
        <w:jc w:val="both"/>
        <w:rPr>
          <w:rFonts w:ascii="Times New Roman" w:eastAsiaTheme="minorEastAsia" w:hAnsi="Times New Roman" w:cs="Times New Roman"/>
          <w:sz w:val="24"/>
          <w:szCs w:val="24"/>
          <w:lang w:val="es-CL"/>
        </w:rPr>
      </w:pPr>
    </w:p>
    <w:p w14:paraId="3D5A8389" w14:textId="63A616B0" w:rsidR="002F443F" w:rsidRDefault="002F443F" w:rsidP="00A20A79">
      <w:pPr>
        <w:jc w:val="both"/>
        <w:rPr>
          <w:rFonts w:ascii="Times New Roman" w:eastAsiaTheme="minorEastAsia" w:hAnsi="Times New Roman" w:cs="Times New Roman"/>
          <w:sz w:val="24"/>
          <w:szCs w:val="24"/>
          <w:lang w:val="es-CL"/>
        </w:rPr>
      </w:pPr>
      <w:r w:rsidRPr="002F443F">
        <w:rPr>
          <w:rFonts w:ascii="Times New Roman" w:eastAsiaTheme="minorEastAsia" w:hAnsi="Times New Roman" w:cs="Times New Roman"/>
          <w:sz w:val="24"/>
          <w:szCs w:val="24"/>
          <w:lang w:val="es-CL"/>
        </w:rPr>
        <w:t>Los proyectos representan el 98,32% del t</w:t>
      </w:r>
      <w:r w:rsidR="00771DD7">
        <w:rPr>
          <w:rFonts w:ascii="Times New Roman" w:eastAsiaTheme="minorEastAsia" w:hAnsi="Times New Roman" w:cs="Times New Roman"/>
          <w:sz w:val="24"/>
          <w:szCs w:val="24"/>
          <w:lang w:val="es-CL"/>
        </w:rPr>
        <w:t>otal de montos certificados dura</w:t>
      </w:r>
      <w:r w:rsidR="00EE5DEF">
        <w:rPr>
          <w:rFonts w:ascii="Times New Roman" w:eastAsiaTheme="minorEastAsia" w:hAnsi="Times New Roman" w:cs="Times New Roman"/>
          <w:sz w:val="24"/>
          <w:szCs w:val="24"/>
          <w:lang w:val="es-CL"/>
        </w:rPr>
        <w:t>nte la vigencia de la nueva l</w:t>
      </w:r>
      <w:r w:rsidR="00A20A79">
        <w:rPr>
          <w:rFonts w:ascii="Times New Roman" w:eastAsiaTheme="minorEastAsia" w:hAnsi="Times New Roman" w:cs="Times New Roman"/>
          <w:sz w:val="24"/>
          <w:szCs w:val="24"/>
          <w:lang w:val="es-CL"/>
        </w:rPr>
        <w:t>ey y si bien, la proporción de contractos es inferior al 2% el B-</w:t>
      </w:r>
      <w:proofErr w:type="spellStart"/>
      <w:r w:rsidR="00A20A79">
        <w:rPr>
          <w:rFonts w:ascii="Times New Roman" w:eastAsiaTheme="minorEastAsia" w:hAnsi="Times New Roman" w:cs="Times New Roman"/>
          <w:sz w:val="24"/>
          <w:szCs w:val="24"/>
          <w:lang w:val="es-CL"/>
        </w:rPr>
        <w:t>index</w:t>
      </w:r>
      <w:proofErr w:type="spellEnd"/>
      <w:r w:rsidR="00A20A79">
        <w:rPr>
          <w:rFonts w:ascii="Times New Roman" w:eastAsiaTheme="minorEastAsia" w:hAnsi="Times New Roman" w:cs="Times New Roman"/>
          <w:sz w:val="24"/>
          <w:szCs w:val="24"/>
          <w:lang w:val="es-CL"/>
        </w:rPr>
        <w:t xml:space="preserve"> es muy similar al de proyectos y por consecuencia al conjunto.</w:t>
      </w:r>
      <w:r w:rsidR="00771DD7">
        <w:rPr>
          <w:rFonts w:ascii="Times New Roman" w:eastAsiaTheme="minorEastAsia" w:hAnsi="Times New Roman" w:cs="Times New Roman"/>
          <w:sz w:val="24"/>
          <w:szCs w:val="24"/>
          <w:lang w:val="es-CL"/>
        </w:rPr>
        <w:t xml:space="preserve"> </w:t>
      </w:r>
    </w:p>
    <w:p w14:paraId="2E3DB42E" w14:textId="6FD2B4D1" w:rsidR="00A20A79" w:rsidRDefault="00A20A79" w:rsidP="00A20A79">
      <w:pPr>
        <w:jc w:val="both"/>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Las estimaciones del B-</w:t>
      </w:r>
      <w:proofErr w:type="spellStart"/>
      <w:proofErr w:type="gramStart"/>
      <w:r>
        <w:rPr>
          <w:rFonts w:ascii="Times New Roman" w:eastAsiaTheme="minorEastAsia" w:hAnsi="Times New Roman" w:cs="Times New Roman"/>
          <w:sz w:val="24"/>
          <w:szCs w:val="24"/>
          <w:lang w:val="es-CL"/>
        </w:rPr>
        <w:t>Index</w:t>
      </w:r>
      <w:proofErr w:type="spellEnd"/>
      <w:r>
        <w:rPr>
          <w:rFonts w:ascii="Times New Roman" w:eastAsiaTheme="minorEastAsia" w:hAnsi="Times New Roman" w:cs="Times New Roman"/>
          <w:sz w:val="24"/>
          <w:szCs w:val="24"/>
          <w:lang w:val="es-CL"/>
        </w:rPr>
        <w:t xml:space="preserve">  hechas</w:t>
      </w:r>
      <w:proofErr w:type="gramEnd"/>
      <w:r>
        <w:rPr>
          <w:rFonts w:ascii="Times New Roman" w:eastAsiaTheme="minorEastAsia" w:hAnsi="Times New Roman" w:cs="Times New Roman"/>
          <w:sz w:val="24"/>
          <w:szCs w:val="24"/>
          <w:lang w:val="es-CL"/>
        </w:rPr>
        <w:t xml:space="preserve"> por </w:t>
      </w:r>
      <w:proofErr w:type="spellStart"/>
      <w:r>
        <w:rPr>
          <w:rFonts w:ascii="Times New Roman" w:eastAsiaTheme="minorEastAsia" w:hAnsi="Times New Roman" w:cs="Times New Roman"/>
          <w:sz w:val="24"/>
          <w:szCs w:val="24"/>
          <w:lang w:val="es-CL"/>
        </w:rPr>
        <w:t>Mohen</w:t>
      </w:r>
      <w:proofErr w:type="spellEnd"/>
      <w:r>
        <w:rPr>
          <w:rFonts w:ascii="Times New Roman" w:eastAsiaTheme="minorEastAsia" w:hAnsi="Times New Roman" w:cs="Times New Roman"/>
          <w:sz w:val="24"/>
          <w:szCs w:val="24"/>
          <w:lang w:val="es-CL"/>
        </w:rPr>
        <w:t xml:space="preserve"> y </w:t>
      </w:r>
      <w:proofErr w:type="spellStart"/>
      <w:r>
        <w:rPr>
          <w:rFonts w:ascii="Times New Roman" w:eastAsiaTheme="minorEastAsia" w:hAnsi="Times New Roman" w:cs="Times New Roman"/>
          <w:sz w:val="24"/>
          <w:szCs w:val="24"/>
          <w:lang w:val="es-CL"/>
        </w:rPr>
        <w:t>Olivari</w:t>
      </w:r>
      <w:proofErr w:type="spellEnd"/>
      <w:r>
        <w:rPr>
          <w:rFonts w:ascii="Times New Roman" w:eastAsiaTheme="minorEastAsia" w:hAnsi="Times New Roman" w:cs="Times New Roman"/>
          <w:sz w:val="24"/>
          <w:szCs w:val="24"/>
          <w:lang w:val="es-CL"/>
        </w:rPr>
        <w:t xml:space="preserve"> (2013) con datos de la Ley previa a sus modificaciones eran de 0,744 para empresas que certificaron montos para realizar I+D extramuros. A su vez, con mediante los ponderadores usados por ambos autores, el B-</w:t>
      </w:r>
      <w:proofErr w:type="spellStart"/>
      <w:r>
        <w:rPr>
          <w:rFonts w:ascii="Times New Roman" w:eastAsiaTheme="minorEastAsia" w:hAnsi="Times New Roman" w:cs="Times New Roman"/>
          <w:sz w:val="24"/>
          <w:szCs w:val="24"/>
          <w:lang w:val="es-CL"/>
        </w:rPr>
        <w:t>Index</w:t>
      </w:r>
      <w:proofErr w:type="spellEnd"/>
      <w:r>
        <w:rPr>
          <w:rFonts w:ascii="Times New Roman" w:eastAsiaTheme="minorEastAsia" w:hAnsi="Times New Roman" w:cs="Times New Roman"/>
          <w:sz w:val="24"/>
          <w:szCs w:val="24"/>
          <w:lang w:val="es-CL"/>
        </w:rPr>
        <w:t xml:space="preserve"> bajo la nueva Ley, conjunto para proyectos y contratos fue de 0,723. Las diferencias se deben a los ponderadores usados para gastos corrientes y de capital. </w:t>
      </w:r>
    </w:p>
    <w:p w14:paraId="079A1BC1" w14:textId="0EC470EA" w:rsidR="00E334FF" w:rsidRPr="00E334FF" w:rsidRDefault="009444C4" w:rsidP="00E334FF">
      <w:pPr>
        <w:jc w:val="both"/>
        <w:rPr>
          <w:rFonts w:ascii="Times New Roman" w:hAnsi="Times New Roman" w:cs="Times New Roman"/>
          <w:sz w:val="24"/>
          <w:szCs w:val="24"/>
          <w:lang w:val="es-CL"/>
        </w:rPr>
      </w:pPr>
      <w:r w:rsidRPr="00E334FF">
        <w:rPr>
          <w:rFonts w:ascii="Times New Roman" w:eastAsiaTheme="minorEastAsia" w:hAnsi="Times New Roman" w:cs="Times New Roman"/>
          <w:sz w:val="24"/>
          <w:szCs w:val="24"/>
          <w:lang w:val="es-CL"/>
        </w:rPr>
        <w:t>Un B-</w:t>
      </w:r>
      <w:proofErr w:type="spellStart"/>
      <w:r w:rsidRPr="00E334FF">
        <w:rPr>
          <w:rFonts w:ascii="Times New Roman" w:eastAsiaTheme="minorEastAsia" w:hAnsi="Times New Roman" w:cs="Times New Roman"/>
          <w:sz w:val="24"/>
          <w:szCs w:val="24"/>
          <w:lang w:val="es-CL"/>
        </w:rPr>
        <w:t>Index</w:t>
      </w:r>
      <w:proofErr w:type="spellEnd"/>
      <w:r w:rsidR="00FB50D7" w:rsidRPr="00E334FF">
        <w:rPr>
          <w:rFonts w:ascii="Times New Roman" w:eastAsiaTheme="minorEastAsia" w:hAnsi="Times New Roman" w:cs="Times New Roman"/>
          <w:sz w:val="24"/>
          <w:szCs w:val="24"/>
          <w:lang w:val="es-CL"/>
        </w:rPr>
        <w:t xml:space="preserve"> se puede interpretar como </w:t>
      </w:r>
      <w:r w:rsidRPr="00E334FF">
        <w:rPr>
          <w:rFonts w:ascii="Times New Roman" w:eastAsiaTheme="minorEastAsia" w:hAnsi="Times New Roman" w:cs="Times New Roman"/>
          <w:sz w:val="24"/>
          <w:szCs w:val="24"/>
          <w:lang w:val="es-CL"/>
        </w:rPr>
        <w:t>el tamaño del</w:t>
      </w:r>
      <w:r w:rsidR="00FB50D7" w:rsidRPr="00E334FF">
        <w:rPr>
          <w:rFonts w:ascii="Times New Roman" w:eastAsiaTheme="minorEastAsia" w:hAnsi="Times New Roman" w:cs="Times New Roman"/>
          <w:sz w:val="24"/>
          <w:szCs w:val="24"/>
          <w:lang w:val="es-CL"/>
        </w:rPr>
        <w:t xml:space="preserve"> incentivo</w:t>
      </w:r>
      <w:r w:rsidRPr="00E334FF">
        <w:rPr>
          <w:rFonts w:ascii="Times New Roman" w:eastAsiaTheme="minorEastAsia" w:hAnsi="Times New Roman" w:cs="Times New Roman"/>
          <w:sz w:val="24"/>
          <w:szCs w:val="24"/>
          <w:lang w:val="es-CL"/>
        </w:rPr>
        <w:t xml:space="preserve"> tributario</w:t>
      </w:r>
      <w:r w:rsidR="00FB50D7" w:rsidRPr="00E334FF">
        <w:rPr>
          <w:rFonts w:ascii="Times New Roman" w:eastAsiaTheme="minorEastAsia" w:hAnsi="Times New Roman" w:cs="Times New Roman"/>
          <w:sz w:val="24"/>
          <w:szCs w:val="24"/>
          <w:lang w:val="es-CL"/>
        </w:rPr>
        <w:t xml:space="preserve"> a las empresas para invertir en I+D, ya que </w:t>
      </w:r>
      <w:r w:rsidRPr="00E334FF">
        <w:rPr>
          <w:rFonts w:ascii="Times New Roman" w:eastAsiaTheme="minorEastAsia" w:hAnsi="Times New Roman" w:cs="Times New Roman"/>
          <w:sz w:val="24"/>
          <w:szCs w:val="24"/>
          <w:lang w:val="es-CL"/>
        </w:rPr>
        <w:t xml:space="preserve">mide </w:t>
      </w:r>
      <w:r w:rsidR="00FB50D7" w:rsidRPr="00E334FF">
        <w:rPr>
          <w:rFonts w:ascii="Times New Roman" w:eastAsiaTheme="minorEastAsia" w:hAnsi="Times New Roman" w:cs="Times New Roman"/>
          <w:sz w:val="24"/>
          <w:szCs w:val="24"/>
          <w:lang w:val="es-CL"/>
        </w:rPr>
        <w:t>la cuantía de ingreso antes de impuestos que necesita una firma para rentabilizar un</w:t>
      </w:r>
      <w:r w:rsidRPr="00E334FF">
        <w:rPr>
          <w:rFonts w:ascii="Times New Roman" w:eastAsiaTheme="minorEastAsia" w:hAnsi="Times New Roman" w:cs="Times New Roman"/>
          <w:sz w:val="24"/>
          <w:szCs w:val="24"/>
          <w:lang w:val="es-CL"/>
        </w:rPr>
        <w:t>a unidad monetaria marginal gastado en I+D. Si el B-</w:t>
      </w:r>
      <w:proofErr w:type="spellStart"/>
      <w:r w:rsidRPr="00E334FF">
        <w:rPr>
          <w:rFonts w:ascii="Times New Roman" w:eastAsiaTheme="minorEastAsia" w:hAnsi="Times New Roman" w:cs="Times New Roman"/>
          <w:sz w:val="24"/>
          <w:szCs w:val="24"/>
          <w:lang w:val="es-CL"/>
        </w:rPr>
        <w:t>Index</w:t>
      </w:r>
      <w:proofErr w:type="spellEnd"/>
      <w:r w:rsidRPr="00E334FF">
        <w:rPr>
          <w:rFonts w:ascii="Times New Roman" w:eastAsiaTheme="minorEastAsia" w:hAnsi="Times New Roman" w:cs="Times New Roman"/>
          <w:sz w:val="24"/>
          <w:szCs w:val="24"/>
          <w:lang w:val="es-CL"/>
        </w:rPr>
        <w:t xml:space="preserve"> es menor a uno, quiere decir que es rentable para la firma invertir en I+D si se acoge al beneficio. Que el B-</w:t>
      </w:r>
      <w:proofErr w:type="spellStart"/>
      <w:r w:rsidRPr="00E334FF">
        <w:rPr>
          <w:rFonts w:ascii="Times New Roman" w:eastAsiaTheme="minorEastAsia" w:hAnsi="Times New Roman" w:cs="Times New Roman"/>
          <w:sz w:val="24"/>
          <w:szCs w:val="24"/>
          <w:lang w:val="es-CL"/>
        </w:rPr>
        <w:t>Index</w:t>
      </w:r>
      <w:proofErr w:type="spellEnd"/>
      <w:r w:rsidRPr="00E334FF">
        <w:rPr>
          <w:rFonts w:ascii="Times New Roman" w:eastAsiaTheme="minorEastAsia" w:hAnsi="Times New Roman" w:cs="Times New Roman"/>
          <w:sz w:val="24"/>
          <w:szCs w:val="24"/>
          <w:lang w:val="es-CL"/>
        </w:rPr>
        <w:t xml:space="preserve"> para Chile para el periodo 2012-2012 bajo la Ley de incentivo tributario a la inversión privada, sea </w:t>
      </w:r>
      <w:r w:rsidR="00A20A79" w:rsidRPr="00E334FF">
        <w:rPr>
          <w:rFonts w:ascii="Times New Roman" w:eastAsiaTheme="minorEastAsia" w:hAnsi="Times New Roman" w:cs="Times New Roman"/>
          <w:sz w:val="24"/>
          <w:szCs w:val="24"/>
          <w:lang w:val="es-CL"/>
        </w:rPr>
        <w:t xml:space="preserve">de 0,646 implica </w:t>
      </w:r>
      <w:r w:rsidRPr="00E334FF">
        <w:rPr>
          <w:rFonts w:ascii="Times New Roman" w:eastAsiaTheme="minorEastAsia" w:hAnsi="Times New Roman" w:cs="Times New Roman"/>
          <w:sz w:val="24"/>
          <w:szCs w:val="24"/>
          <w:lang w:val="es-CL"/>
        </w:rPr>
        <w:t>que las empresas chilenas que se acogen a este incentivo tributario se ven beneficiadas de certificar y ejecutar montos de I+D</w:t>
      </w:r>
      <w:r w:rsidR="005F4E17" w:rsidRPr="00E334FF">
        <w:rPr>
          <w:rFonts w:ascii="Times New Roman" w:eastAsiaTheme="minorEastAsia" w:hAnsi="Times New Roman" w:cs="Times New Roman"/>
          <w:sz w:val="24"/>
          <w:szCs w:val="24"/>
          <w:lang w:val="es-CL"/>
        </w:rPr>
        <w:t>. Como se explicó antes el B-</w:t>
      </w:r>
      <w:proofErr w:type="spellStart"/>
      <w:r w:rsidR="005F4E17" w:rsidRPr="00E334FF">
        <w:rPr>
          <w:rFonts w:ascii="Times New Roman" w:eastAsiaTheme="minorEastAsia" w:hAnsi="Times New Roman" w:cs="Times New Roman"/>
          <w:sz w:val="24"/>
          <w:szCs w:val="24"/>
          <w:lang w:val="es-CL"/>
        </w:rPr>
        <w:t>Index</w:t>
      </w:r>
      <w:proofErr w:type="spellEnd"/>
      <w:r w:rsidR="005F4E17" w:rsidRPr="00E334FF">
        <w:rPr>
          <w:rFonts w:ascii="Times New Roman" w:eastAsiaTheme="minorEastAsia" w:hAnsi="Times New Roman" w:cs="Times New Roman"/>
          <w:sz w:val="24"/>
          <w:szCs w:val="24"/>
          <w:lang w:val="es-CL"/>
        </w:rPr>
        <w:t xml:space="preserve"> mide la generosidad del incentivo tributario, pero no es evidente su comparación con otros instrumentos dentro del mismo país. La OCDE (2013) utiliza la expresión 1 menos el B-</w:t>
      </w:r>
      <w:proofErr w:type="spellStart"/>
      <w:r w:rsidR="005F4E17" w:rsidRPr="00E334FF">
        <w:rPr>
          <w:rFonts w:ascii="Times New Roman" w:eastAsiaTheme="minorEastAsia" w:hAnsi="Times New Roman" w:cs="Times New Roman"/>
          <w:sz w:val="24"/>
          <w:szCs w:val="24"/>
          <w:lang w:val="es-CL"/>
        </w:rPr>
        <w:t>Index</w:t>
      </w:r>
      <w:proofErr w:type="spellEnd"/>
      <w:r w:rsidR="005F4E17" w:rsidRPr="00E334FF">
        <w:rPr>
          <w:rFonts w:ascii="Times New Roman" w:eastAsiaTheme="minorEastAsia" w:hAnsi="Times New Roman" w:cs="Times New Roman"/>
          <w:sz w:val="24"/>
          <w:szCs w:val="24"/>
          <w:lang w:val="es-CL"/>
        </w:rPr>
        <w:t xml:space="preserve"> para estimar la tasa tácita </w:t>
      </w:r>
      <w:r w:rsidR="000A1BC3" w:rsidRPr="00E334FF">
        <w:rPr>
          <w:rFonts w:ascii="Times New Roman" w:eastAsiaTheme="minorEastAsia" w:hAnsi="Times New Roman" w:cs="Times New Roman"/>
          <w:sz w:val="24"/>
          <w:szCs w:val="24"/>
          <w:lang w:val="es-CL"/>
        </w:rPr>
        <w:t xml:space="preserve">de subsidio de un incentivo tributario. </w:t>
      </w:r>
      <w:r w:rsidR="00E334FF" w:rsidRPr="00E334FF">
        <w:rPr>
          <w:rFonts w:ascii="Times New Roman" w:eastAsiaTheme="minorEastAsia" w:hAnsi="Times New Roman" w:cs="Times New Roman"/>
          <w:sz w:val="24"/>
          <w:szCs w:val="24"/>
          <w:lang w:val="es-CL"/>
        </w:rPr>
        <w:t xml:space="preserve">Recientemente </w:t>
      </w:r>
      <w:proofErr w:type="spellStart"/>
      <w:r w:rsidR="00E334FF" w:rsidRPr="00E334FF">
        <w:rPr>
          <w:rFonts w:ascii="Times New Roman" w:hAnsi="Times New Roman" w:cs="Times New Roman"/>
          <w:sz w:val="24"/>
          <w:szCs w:val="24"/>
          <w:lang w:val="es-CL"/>
        </w:rPr>
        <w:t>Appelt</w:t>
      </w:r>
      <w:proofErr w:type="spellEnd"/>
      <w:r w:rsidR="00E334FF" w:rsidRPr="00E334FF">
        <w:rPr>
          <w:rFonts w:ascii="Times New Roman" w:hAnsi="Times New Roman" w:cs="Times New Roman"/>
          <w:sz w:val="24"/>
          <w:szCs w:val="24"/>
          <w:lang w:val="es-CL"/>
        </w:rPr>
        <w:t xml:space="preserve">, S. et al. (2016) publicaron datos de comparados de esta medida </w:t>
      </w:r>
      <w:r w:rsidR="00E334FF">
        <w:rPr>
          <w:rFonts w:ascii="Times New Roman" w:hAnsi="Times New Roman" w:cs="Times New Roman"/>
          <w:sz w:val="24"/>
          <w:szCs w:val="24"/>
          <w:lang w:val="es-CL"/>
        </w:rPr>
        <w:t>para todos los países de la OCDE que disponen de incentivos tributarios haciendo proyecciones para cuatro tipos firmas representativas por país, según tamaño y rendimiento económico. El Gráfico 4.1 muestra esta comparación.</w:t>
      </w:r>
    </w:p>
    <w:p w14:paraId="55B4BC8E" w14:textId="2D7A79CC" w:rsidR="00E355D5" w:rsidRPr="00E355D5" w:rsidRDefault="00E334FF" w:rsidP="00E355D5">
      <w:pPr>
        <w:pStyle w:val="Sinespaciado"/>
        <w:jc w:val="center"/>
        <w:rPr>
          <w:rFonts w:ascii="Times New Roman" w:eastAsiaTheme="minorEastAsia" w:hAnsi="Times New Roman"/>
          <w:sz w:val="24"/>
          <w:szCs w:val="24"/>
          <w:u w:val="single"/>
        </w:rPr>
      </w:pPr>
      <w:r w:rsidRPr="00E355D5">
        <w:rPr>
          <w:rFonts w:ascii="Times New Roman" w:eastAsiaTheme="minorEastAsia" w:hAnsi="Times New Roman"/>
          <w:sz w:val="24"/>
          <w:szCs w:val="24"/>
          <w:u w:val="single"/>
        </w:rPr>
        <w:t xml:space="preserve">Gráfico 4.1: </w:t>
      </w:r>
      <w:r w:rsidR="00E355D5" w:rsidRPr="00E355D5">
        <w:rPr>
          <w:rFonts w:ascii="Times New Roman" w:eastAsiaTheme="minorEastAsia" w:hAnsi="Times New Roman"/>
          <w:sz w:val="24"/>
          <w:szCs w:val="24"/>
          <w:u w:val="single"/>
        </w:rPr>
        <w:t>Tasa tácita de subsidio en gastos de I+D, 2015</w:t>
      </w:r>
    </w:p>
    <w:p w14:paraId="4E9F4DFE" w14:textId="26743939" w:rsidR="00E355D5" w:rsidRPr="00E355D5" w:rsidRDefault="00E355D5" w:rsidP="00E355D5">
      <w:pPr>
        <w:pStyle w:val="Sinespaciado"/>
        <w:jc w:val="center"/>
        <w:rPr>
          <w:rFonts w:ascii="Times New Roman" w:eastAsiaTheme="minorEastAsia" w:hAnsi="Times New Roman"/>
          <w:sz w:val="20"/>
          <w:szCs w:val="20"/>
        </w:rPr>
      </w:pPr>
      <w:r w:rsidRPr="00E355D5">
        <w:rPr>
          <w:rFonts w:ascii="Times New Roman" w:eastAsiaTheme="minorEastAsia" w:hAnsi="Times New Roman"/>
          <w:sz w:val="20"/>
          <w:szCs w:val="20"/>
        </w:rPr>
        <w:t>1-B-Index, por tamaño de empresa y proyección de utilidades</w:t>
      </w:r>
    </w:p>
    <w:p w14:paraId="23560E2B" w14:textId="0B66688E" w:rsidR="002F443F" w:rsidRPr="00E334FF" w:rsidRDefault="00E355D5" w:rsidP="00E355D5">
      <w:pPr>
        <w:jc w:val="center"/>
        <w:rPr>
          <w:rFonts w:eastAsiaTheme="minorEastAsia"/>
          <w:lang w:val="es-CL"/>
        </w:rPr>
      </w:pPr>
      <w:r>
        <w:rPr>
          <w:noProof/>
          <w:lang w:val="es-CL" w:eastAsia="es-CL"/>
        </w:rPr>
        <w:lastRenderedPageBreak/>
        <w:drawing>
          <wp:inline distT="0" distB="0" distL="0" distR="0" wp14:anchorId="72C5C827" wp14:editId="6E8A07A1">
            <wp:extent cx="5612130" cy="2502535"/>
            <wp:effectExtent l="0" t="0" r="762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B12E7C" w14:textId="46856A93" w:rsidR="002F443F" w:rsidRPr="00017599" w:rsidRDefault="00E355D5" w:rsidP="00E355D5">
      <w:pPr>
        <w:rPr>
          <w:rFonts w:ascii="Times New Roman" w:eastAsiaTheme="minorEastAsia" w:hAnsi="Times New Roman" w:cs="Times New Roman"/>
          <w:sz w:val="20"/>
          <w:szCs w:val="20"/>
        </w:rPr>
      </w:pPr>
      <w:r w:rsidRPr="00017599">
        <w:rPr>
          <w:rFonts w:ascii="Times New Roman" w:eastAsiaTheme="minorEastAsia" w:hAnsi="Times New Roman" w:cs="Times New Roman"/>
          <w:sz w:val="20"/>
          <w:szCs w:val="20"/>
        </w:rPr>
        <w:t xml:space="preserve">Fuente: OECD, R&amp;D </w:t>
      </w:r>
      <w:proofErr w:type="spellStart"/>
      <w:r w:rsidRPr="00017599">
        <w:rPr>
          <w:rFonts w:ascii="Times New Roman" w:eastAsiaTheme="minorEastAsia" w:hAnsi="Times New Roman" w:cs="Times New Roman"/>
          <w:sz w:val="20"/>
          <w:szCs w:val="20"/>
        </w:rPr>
        <w:t>Tax</w:t>
      </w:r>
      <w:proofErr w:type="spellEnd"/>
      <w:r w:rsidRPr="00017599">
        <w:rPr>
          <w:rFonts w:ascii="Times New Roman" w:eastAsiaTheme="minorEastAsia" w:hAnsi="Times New Roman" w:cs="Times New Roman"/>
          <w:sz w:val="20"/>
          <w:szCs w:val="20"/>
        </w:rPr>
        <w:t xml:space="preserve"> Incentive </w:t>
      </w:r>
      <w:proofErr w:type="spellStart"/>
      <w:r w:rsidRPr="00017599">
        <w:rPr>
          <w:rFonts w:ascii="Times New Roman" w:eastAsiaTheme="minorEastAsia" w:hAnsi="Times New Roman" w:cs="Times New Roman"/>
          <w:sz w:val="20"/>
          <w:szCs w:val="20"/>
        </w:rPr>
        <w:t>Indicators</w:t>
      </w:r>
      <w:proofErr w:type="spellEnd"/>
      <w:r w:rsidRPr="00017599">
        <w:rPr>
          <w:rFonts w:ascii="Times New Roman" w:eastAsiaTheme="minorEastAsia" w:hAnsi="Times New Roman" w:cs="Times New Roman"/>
          <w:sz w:val="20"/>
          <w:szCs w:val="20"/>
        </w:rPr>
        <w:t>, www.oec</w:t>
      </w:r>
      <w:r w:rsidR="00F43AB2" w:rsidRPr="00017599">
        <w:rPr>
          <w:rFonts w:ascii="Times New Roman" w:eastAsiaTheme="minorEastAsia" w:hAnsi="Times New Roman" w:cs="Times New Roman"/>
          <w:sz w:val="20"/>
          <w:szCs w:val="20"/>
        </w:rPr>
        <w:t>d.org/sti/rd-tax-stats.htm, Julio</w:t>
      </w:r>
      <w:r w:rsidRPr="00017599">
        <w:rPr>
          <w:rFonts w:ascii="Times New Roman" w:eastAsiaTheme="minorEastAsia" w:hAnsi="Times New Roman" w:cs="Times New Roman"/>
          <w:sz w:val="20"/>
          <w:szCs w:val="20"/>
        </w:rPr>
        <w:t xml:space="preserve"> 2015.</w:t>
      </w:r>
    </w:p>
    <w:p w14:paraId="7D4EC044" w14:textId="459F5F4B" w:rsidR="00F43AB2" w:rsidRDefault="00F43AB2" w:rsidP="00F43AB2">
      <w:pPr>
        <w:jc w:val="both"/>
        <w:rPr>
          <w:rFonts w:ascii="Times New Roman" w:eastAsiaTheme="minorEastAsia" w:hAnsi="Times New Roman" w:cs="Times New Roman"/>
          <w:sz w:val="24"/>
          <w:szCs w:val="24"/>
          <w:lang w:val="es-CL"/>
        </w:rPr>
      </w:pPr>
      <w:r w:rsidRPr="00F43AB2">
        <w:rPr>
          <w:rFonts w:ascii="Times New Roman" w:eastAsiaTheme="minorEastAsia" w:hAnsi="Times New Roman" w:cs="Times New Roman"/>
          <w:sz w:val="24"/>
          <w:szCs w:val="24"/>
          <w:lang w:val="es-CL"/>
        </w:rPr>
        <w:t>La “generosidad” del incentivo tributario chileno está situado entre los p</w:t>
      </w:r>
      <w:r>
        <w:rPr>
          <w:rFonts w:ascii="Times New Roman" w:eastAsiaTheme="minorEastAsia" w:hAnsi="Times New Roman" w:cs="Times New Roman"/>
          <w:sz w:val="24"/>
          <w:szCs w:val="24"/>
          <w:lang w:val="es-CL"/>
        </w:rPr>
        <w:t>rimeros diez lugares de la OCDE. Considerando que la primera estimación de uno menos el B-</w:t>
      </w:r>
      <w:proofErr w:type="spellStart"/>
      <w:r>
        <w:rPr>
          <w:rFonts w:ascii="Times New Roman" w:eastAsiaTheme="minorEastAsia" w:hAnsi="Times New Roman" w:cs="Times New Roman"/>
          <w:sz w:val="24"/>
          <w:szCs w:val="24"/>
          <w:lang w:val="es-CL"/>
        </w:rPr>
        <w:t>Index</w:t>
      </w:r>
      <w:proofErr w:type="spellEnd"/>
      <w:r>
        <w:rPr>
          <w:rFonts w:ascii="Times New Roman" w:eastAsiaTheme="minorEastAsia" w:hAnsi="Times New Roman" w:cs="Times New Roman"/>
          <w:sz w:val="24"/>
          <w:szCs w:val="24"/>
          <w:lang w:val="es-CL"/>
        </w:rPr>
        <w:t xml:space="preserve"> hecha por </w:t>
      </w:r>
      <w:proofErr w:type="spellStart"/>
      <w:r>
        <w:rPr>
          <w:rFonts w:ascii="Times New Roman" w:eastAsiaTheme="minorEastAsia" w:hAnsi="Times New Roman" w:cs="Times New Roman"/>
          <w:sz w:val="24"/>
          <w:szCs w:val="24"/>
          <w:lang w:val="es-CL"/>
        </w:rPr>
        <w:t>Mohen</w:t>
      </w:r>
      <w:proofErr w:type="spellEnd"/>
      <w:r>
        <w:rPr>
          <w:rFonts w:ascii="Times New Roman" w:eastAsiaTheme="minorEastAsia" w:hAnsi="Times New Roman" w:cs="Times New Roman"/>
          <w:sz w:val="24"/>
          <w:szCs w:val="24"/>
          <w:lang w:val="es-CL"/>
        </w:rPr>
        <w:t xml:space="preserve"> y </w:t>
      </w:r>
      <w:proofErr w:type="spellStart"/>
      <w:r>
        <w:rPr>
          <w:rFonts w:ascii="Times New Roman" w:eastAsiaTheme="minorEastAsia" w:hAnsi="Times New Roman" w:cs="Times New Roman"/>
          <w:sz w:val="24"/>
          <w:szCs w:val="24"/>
          <w:lang w:val="es-CL"/>
        </w:rPr>
        <w:t>Olivarí</w:t>
      </w:r>
      <w:proofErr w:type="spellEnd"/>
      <w:r>
        <w:rPr>
          <w:rFonts w:ascii="Times New Roman" w:eastAsiaTheme="minorEastAsia" w:hAnsi="Times New Roman" w:cs="Times New Roman"/>
          <w:sz w:val="24"/>
          <w:szCs w:val="24"/>
          <w:lang w:val="es-CL"/>
        </w:rPr>
        <w:t xml:space="preserve"> (2013) para 20</w:t>
      </w:r>
      <w:r w:rsidR="00EE5DEF">
        <w:rPr>
          <w:rFonts w:ascii="Times New Roman" w:eastAsiaTheme="minorEastAsia" w:hAnsi="Times New Roman" w:cs="Times New Roman"/>
          <w:sz w:val="24"/>
          <w:szCs w:val="24"/>
          <w:lang w:val="es-CL"/>
        </w:rPr>
        <w:t>0</w:t>
      </w:r>
      <w:r>
        <w:rPr>
          <w:rFonts w:ascii="Times New Roman" w:eastAsiaTheme="minorEastAsia" w:hAnsi="Times New Roman" w:cs="Times New Roman"/>
          <w:sz w:val="24"/>
          <w:szCs w:val="24"/>
          <w:lang w:val="es-CL"/>
        </w:rPr>
        <w:t xml:space="preserve">8 era de -0.131, implicando que el incentivo </w:t>
      </w:r>
      <w:r w:rsidR="000D5140">
        <w:rPr>
          <w:rFonts w:ascii="Times New Roman" w:eastAsiaTheme="minorEastAsia" w:hAnsi="Times New Roman" w:cs="Times New Roman"/>
          <w:sz w:val="24"/>
          <w:szCs w:val="24"/>
          <w:lang w:val="es-CL"/>
        </w:rPr>
        <w:t xml:space="preserve">no era beneficioso para que las empresas invirtieran en I+D, luego la estimación de los </w:t>
      </w:r>
      <w:r w:rsidR="00357B6F">
        <w:rPr>
          <w:rFonts w:ascii="Times New Roman" w:eastAsiaTheme="minorEastAsia" w:hAnsi="Times New Roman" w:cs="Times New Roman"/>
          <w:sz w:val="24"/>
          <w:szCs w:val="24"/>
          <w:lang w:val="es-CL"/>
        </w:rPr>
        <w:t>mismos autores</w:t>
      </w:r>
      <w:r w:rsidR="000D5140">
        <w:rPr>
          <w:rFonts w:ascii="Times New Roman" w:eastAsiaTheme="minorEastAsia" w:hAnsi="Times New Roman" w:cs="Times New Roman"/>
          <w:sz w:val="24"/>
          <w:szCs w:val="24"/>
          <w:lang w:val="es-CL"/>
        </w:rPr>
        <w:t xml:space="preserve"> para la nueva Ley en 2012 de 0,277 y la realizada en este estudio de </w:t>
      </w:r>
      <w:r w:rsidR="00357B6F">
        <w:rPr>
          <w:rFonts w:ascii="Times New Roman" w:eastAsiaTheme="minorEastAsia" w:hAnsi="Times New Roman" w:cs="Times New Roman"/>
          <w:sz w:val="24"/>
          <w:szCs w:val="24"/>
          <w:lang w:val="es-CL"/>
        </w:rPr>
        <w:t xml:space="preserve">0,354 sustentan la construcción adecuada de los incentivos en la Ley para que las empresas gasten en I+D. </w:t>
      </w:r>
    </w:p>
    <w:p w14:paraId="6DA8CC17" w14:textId="298FA34E" w:rsidR="00357B6F" w:rsidRDefault="00357B6F" w:rsidP="00F43AB2">
      <w:pPr>
        <w:jc w:val="both"/>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 xml:space="preserve">Que el incentivo esté bien diseñado para las empresas vean rentable invertir en I+D no implica necesariamente su uso efectivo por parte de las empresas, tanto para certificar como ejecutar recursos.  </w:t>
      </w:r>
      <w:r w:rsidR="006D7B29">
        <w:rPr>
          <w:rFonts w:ascii="Times New Roman" w:eastAsiaTheme="minorEastAsia" w:hAnsi="Times New Roman" w:cs="Times New Roman"/>
          <w:sz w:val="24"/>
          <w:szCs w:val="24"/>
          <w:lang w:val="es-CL"/>
        </w:rPr>
        <w:t>Para intentar entender en mayor profundidad el fenómeno de un incentivo tributario teóricamente bien diseñado, pero no utilizado, se muestran resultados a continuación de B-</w:t>
      </w:r>
      <w:proofErr w:type="spellStart"/>
      <w:r w:rsidR="006D7B29">
        <w:rPr>
          <w:rFonts w:ascii="Times New Roman" w:eastAsiaTheme="minorEastAsia" w:hAnsi="Times New Roman" w:cs="Times New Roman"/>
          <w:sz w:val="24"/>
          <w:szCs w:val="24"/>
          <w:lang w:val="es-CL"/>
        </w:rPr>
        <w:t>Index</w:t>
      </w:r>
      <w:proofErr w:type="spellEnd"/>
      <w:r w:rsidR="006D7B29">
        <w:rPr>
          <w:rFonts w:ascii="Times New Roman" w:eastAsiaTheme="minorEastAsia" w:hAnsi="Times New Roman" w:cs="Times New Roman"/>
          <w:sz w:val="24"/>
          <w:szCs w:val="24"/>
          <w:lang w:val="es-CL"/>
        </w:rPr>
        <w:t xml:space="preserve"> por sector económico y tamaño.</w:t>
      </w:r>
    </w:p>
    <w:p w14:paraId="2B4AB4F5" w14:textId="129E6923" w:rsidR="006D7B29" w:rsidRDefault="00154C3F" w:rsidP="00F43AB2">
      <w:pPr>
        <w:jc w:val="both"/>
        <w:rPr>
          <w:rFonts w:ascii="Times New Roman" w:eastAsiaTheme="minorEastAsia" w:hAnsi="Times New Roman" w:cs="Times New Roman"/>
          <w:sz w:val="24"/>
          <w:szCs w:val="24"/>
          <w:lang w:val="es-CL"/>
        </w:rPr>
      </w:pPr>
      <w:r>
        <w:rPr>
          <w:rFonts w:ascii="Times New Roman" w:eastAsiaTheme="minorEastAsia" w:hAnsi="Times New Roman" w:cs="Times New Roman"/>
          <w:sz w:val="24"/>
          <w:szCs w:val="24"/>
          <w:lang w:val="es-CL"/>
        </w:rPr>
        <w:t xml:space="preserve">Si bien por construcción no existen ponderaciones fijas por tipo de gasto (corriente vs de capital) ni los subconjuntos dentro de ambos tipos de gastos, mediante el gasto certificado efectivo </w:t>
      </w:r>
      <w:r w:rsidR="006D7B29">
        <w:rPr>
          <w:rFonts w:ascii="Times New Roman" w:eastAsiaTheme="minorEastAsia" w:hAnsi="Times New Roman" w:cs="Times New Roman"/>
          <w:sz w:val="24"/>
          <w:szCs w:val="24"/>
          <w:lang w:val="es-CL"/>
        </w:rPr>
        <w:t xml:space="preserve">de todos los proyectos y contratos certificado para el periodo 2012-2015, se </w:t>
      </w:r>
      <w:r w:rsidR="00EE5DEF">
        <w:rPr>
          <w:rFonts w:ascii="Times New Roman" w:eastAsiaTheme="minorEastAsia" w:hAnsi="Times New Roman" w:cs="Times New Roman"/>
          <w:sz w:val="24"/>
          <w:szCs w:val="24"/>
          <w:lang w:val="es-CL"/>
        </w:rPr>
        <w:t>pueden ca</w:t>
      </w:r>
      <w:r>
        <w:rPr>
          <w:rFonts w:ascii="Times New Roman" w:eastAsiaTheme="minorEastAsia" w:hAnsi="Times New Roman" w:cs="Times New Roman"/>
          <w:sz w:val="24"/>
          <w:szCs w:val="24"/>
          <w:lang w:val="es-CL"/>
        </w:rPr>
        <w:t>l</w:t>
      </w:r>
      <w:r w:rsidR="00EE5DEF">
        <w:rPr>
          <w:rFonts w:ascii="Times New Roman" w:eastAsiaTheme="minorEastAsia" w:hAnsi="Times New Roman" w:cs="Times New Roman"/>
          <w:sz w:val="24"/>
          <w:szCs w:val="24"/>
          <w:lang w:val="es-CL"/>
        </w:rPr>
        <w:t>c</w:t>
      </w:r>
      <w:r>
        <w:rPr>
          <w:rFonts w:ascii="Times New Roman" w:eastAsiaTheme="minorEastAsia" w:hAnsi="Times New Roman" w:cs="Times New Roman"/>
          <w:sz w:val="24"/>
          <w:szCs w:val="24"/>
          <w:lang w:val="es-CL"/>
        </w:rPr>
        <w:t>ular</w:t>
      </w:r>
      <w:r w:rsidR="006D7B29">
        <w:rPr>
          <w:rFonts w:ascii="Times New Roman" w:eastAsiaTheme="minorEastAsia" w:hAnsi="Times New Roman" w:cs="Times New Roman"/>
          <w:sz w:val="24"/>
          <w:szCs w:val="24"/>
          <w:lang w:val="es-CL"/>
        </w:rPr>
        <w:t xml:space="preserve"> pon</w:t>
      </w:r>
      <w:r>
        <w:rPr>
          <w:rFonts w:ascii="Times New Roman" w:eastAsiaTheme="minorEastAsia" w:hAnsi="Times New Roman" w:cs="Times New Roman"/>
          <w:sz w:val="24"/>
          <w:szCs w:val="24"/>
          <w:lang w:val="es-CL"/>
        </w:rPr>
        <w:t xml:space="preserve">deraciones de gasto corriente, </w:t>
      </w:r>
      <w:r w:rsidR="006D7B29">
        <w:rPr>
          <w:rFonts w:ascii="Times New Roman" w:eastAsiaTheme="minorEastAsia" w:hAnsi="Times New Roman" w:cs="Times New Roman"/>
          <w:sz w:val="24"/>
          <w:szCs w:val="24"/>
          <w:lang w:val="es-CL"/>
        </w:rPr>
        <w:t>de capital</w:t>
      </w:r>
      <w:r>
        <w:rPr>
          <w:rFonts w:ascii="Times New Roman" w:eastAsiaTheme="minorEastAsia" w:hAnsi="Times New Roman" w:cs="Times New Roman"/>
          <w:sz w:val="24"/>
          <w:szCs w:val="24"/>
          <w:lang w:val="es-CL"/>
        </w:rPr>
        <w:t xml:space="preserve"> y sus subconjuntos</w:t>
      </w:r>
      <w:r w:rsidR="006D7B29">
        <w:rPr>
          <w:rFonts w:ascii="Times New Roman" w:eastAsiaTheme="minorEastAsia" w:hAnsi="Times New Roman" w:cs="Times New Roman"/>
          <w:sz w:val="24"/>
          <w:szCs w:val="24"/>
          <w:lang w:val="es-CL"/>
        </w:rPr>
        <w:t>, de acuerdo al promedio de los montos efectivamente certificados según tamaño y</w:t>
      </w:r>
      <w:r w:rsidR="00DA0D79">
        <w:rPr>
          <w:rFonts w:ascii="Times New Roman" w:eastAsiaTheme="minorEastAsia" w:hAnsi="Times New Roman" w:cs="Times New Roman"/>
          <w:sz w:val="24"/>
          <w:szCs w:val="24"/>
          <w:lang w:val="es-CL"/>
        </w:rPr>
        <w:t xml:space="preserve"> luego, por</w:t>
      </w:r>
      <w:r w:rsidR="006D7B29">
        <w:rPr>
          <w:rFonts w:ascii="Times New Roman" w:eastAsiaTheme="minorEastAsia" w:hAnsi="Times New Roman" w:cs="Times New Roman"/>
          <w:sz w:val="24"/>
          <w:szCs w:val="24"/>
          <w:lang w:val="es-CL"/>
        </w:rPr>
        <w:t xml:space="preserve"> sector económico registrado en su postulación</w:t>
      </w:r>
      <w:r w:rsidR="006D7B29">
        <w:rPr>
          <w:rStyle w:val="Refdenotaalpie"/>
          <w:rFonts w:ascii="Times New Roman" w:eastAsiaTheme="minorEastAsia" w:hAnsi="Times New Roman" w:cs="Times New Roman"/>
          <w:sz w:val="24"/>
          <w:szCs w:val="24"/>
          <w:lang w:val="es-CL"/>
        </w:rPr>
        <w:footnoteReference w:id="13"/>
      </w:r>
      <w:r w:rsidR="006D7B29">
        <w:rPr>
          <w:rFonts w:ascii="Times New Roman" w:eastAsiaTheme="minorEastAsia" w:hAnsi="Times New Roman" w:cs="Times New Roman"/>
          <w:sz w:val="24"/>
          <w:szCs w:val="24"/>
          <w:lang w:val="es-CL"/>
        </w:rPr>
        <w:t>.</w:t>
      </w:r>
      <w:r>
        <w:rPr>
          <w:rFonts w:ascii="Times New Roman" w:eastAsiaTheme="minorEastAsia" w:hAnsi="Times New Roman" w:cs="Times New Roman"/>
          <w:sz w:val="24"/>
          <w:szCs w:val="24"/>
          <w:lang w:val="es-CL"/>
        </w:rPr>
        <w:t xml:space="preserve"> Este ejercicio permite estudiar la idoneidad del incentivo tributario por sector y tamaño</w:t>
      </w:r>
      <w:r w:rsidR="005C0F1F">
        <w:rPr>
          <w:rFonts w:ascii="Times New Roman" w:eastAsiaTheme="minorEastAsia" w:hAnsi="Times New Roman" w:cs="Times New Roman"/>
          <w:sz w:val="24"/>
          <w:szCs w:val="24"/>
          <w:lang w:val="es-CL"/>
        </w:rPr>
        <w:t>, y determinar si el incentivo es más efectivo, “generoso” para ciertos sectores y tamaños. Los Cuadros 3.4 y 3.5 detallan los factores según tipo de gasto por tamaño de empresa y sector económico respectivamente.</w:t>
      </w:r>
    </w:p>
    <w:p w14:paraId="773982D6" w14:textId="5DF48DC1" w:rsidR="006D7B29" w:rsidRPr="006D7B29" w:rsidRDefault="005C0F1F" w:rsidP="006D7B29">
      <w:pPr>
        <w:jc w:val="center"/>
        <w:rPr>
          <w:rFonts w:ascii="Times New Roman" w:eastAsiaTheme="minorEastAsia" w:hAnsi="Times New Roman" w:cs="Times New Roman"/>
          <w:sz w:val="24"/>
          <w:szCs w:val="24"/>
          <w:u w:val="single"/>
          <w:lang w:val="es-CL"/>
        </w:rPr>
      </w:pPr>
      <w:r>
        <w:rPr>
          <w:rFonts w:ascii="Times New Roman" w:eastAsiaTheme="minorEastAsia" w:hAnsi="Times New Roman" w:cs="Times New Roman"/>
          <w:sz w:val="24"/>
          <w:szCs w:val="24"/>
          <w:u w:val="single"/>
          <w:lang w:val="es-CL"/>
        </w:rPr>
        <w:t>Cuadro 3</w:t>
      </w:r>
      <w:r w:rsidR="006D7B29" w:rsidRPr="006D7B29">
        <w:rPr>
          <w:rFonts w:ascii="Times New Roman" w:eastAsiaTheme="minorEastAsia" w:hAnsi="Times New Roman" w:cs="Times New Roman"/>
          <w:sz w:val="24"/>
          <w:szCs w:val="24"/>
          <w:u w:val="single"/>
          <w:lang w:val="es-CL"/>
        </w:rPr>
        <w:t xml:space="preserve">.4: Factores del modelo empírico según tamaño </w:t>
      </w:r>
    </w:p>
    <w:tbl>
      <w:tblPr>
        <w:tblW w:w="7923" w:type="dxa"/>
        <w:jc w:val="center"/>
        <w:tblCellMar>
          <w:left w:w="70" w:type="dxa"/>
          <w:right w:w="70" w:type="dxa"/>
        </w:tblCellMar>
        <w:tblLook w:val="04A0" w:firstRow="1" w:lastRow="0" w:firstColumn="1" w:lastColumn="0" w:noHBand="0" w:noVBand="1"/>
      </w:tblPr>
      <w:tblGrid>
        <w:gridCol w:w="1195"/>
        <w:gridCol w:w="1499"/>
        <w:gridCol w:w="1134"/>
        <w:gridCol w:w="992"/>
        <w:gridCol w:w="1134"/>
        <w:gridCol w:w="1370"/>
        <w:gridCol w:w="599"/>
      </w:tblGrid>
      <w:tr w:rsidR="00017599" w:rsidRPr="006A0175" w14:paraId="75FFEEF9" w14:textId="77777777" w:rsidTr="001228C8">
        <w:trPr>
          <w:trHeight w:val="365"/>
          <w:jc w:val="center"/>
        </w:trPr>
        <w:tc>
          <w:tcPr>
            <w:tcW w:w="1195" w:type="dxa"/>
            <w:tcBorders>
              <w:top w:val="single" w:sz="4" w:space="0" w:color="auto"/>
              <w:left w:val="nil"/>
              <w:bottom w:val="double" w:sz="6" w:space="0" w:color="auto"/>
              <w:right w:val="nil"/>
            </w:tcBorders>
          </w:tcPr>
          <w:p w14:paraId="326F904F" w14:textId="77777777" w:rsidR="00017599" w:rsidRPr="006A0175" w:rsidRDefault="00017599" w:rsidP="001228C8">
            <w:pPr>
              <w:spacing w:after="0" w:line="240" w:lineRule="auto"/>
              <w:jc w:val="center"/>
              <w:rPr>
                <w:rFonts w:ascii="Times New Roman" w:eastAsia="Times New Roman" w:hAnsi="Times New Roman" w:cs="Times New Roman"/>
                <w:color w:val="000000"/>
                <w:sz w:val="24"/>
                <w:szCs w:val="24"/>
                <w:lang w:val="es-CL" w:eastAsia="es-CL"/>
              </w:rPr>
            </w:pPr>
          </w:p>
        </w:tc>
        <w:tc>
          <w:tcPr>
            <w:tcW w:w="1499" w:type="dxa"/>
            <w:tcBorders>
              <w:top w:val="single" w:sz="4" w:space="0" w:color="auto"/>
              <w:left w:val="nil"/>
              <w:bottom w:val="double" w:sz="6" w:space="0" w:color="auto"/>
              <w:right w:val="nil"/>
            </w:tcBorders>
            <w:shd w:val="clear" w:color="auto" w:fill="auto"/>
            <w:vAlign w:val="center"/>
            <w:hideMark/>
          </w:tcPr>
          <w:p w14:paraId="7CFFED6E" w14:textId="77777777" w:rsidR="00017599" w:rsidRPr="006A0175" w:rsidRDefault="00017599" w:rsidP="001228C8">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 xml:space="preserve">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L</m:t>
                  </m:r>
                </m:sup>
              </m:sSubSup>
            </m:oMath>
            <w:r>
              <w:rPr>
                <w:rFonts w:ascii="Times New Roman" w:eastAsia="Times New Roman" w:hAnsi="Times New Roman" w:cs="Times New Roman"/>
                <w:sz w:val="24"/>
                <w:szCs w:val="24"/>
              </w:rPr>
              <w:t xml:space="preserve"> </w:t>
            </w:r>
          </w:p>
        </w:tc>
        <w:tc>
          <w:tcPr>
            <w:tcW w:w="1134" w:type="dxa"/>
            <w:tcBorders>
              <w:top w:val="single" w:sz="4" w:space="0" w:color="auto"/>
              <w:left w:val="nil"/>
              <w:bottom w:val="double" w:sz="6" w:space="0" w:color="auto"/>
              <w:right w:val="nil"/>
            </w:tcBorders>
          </w:tcPr>
          <w:p w14:paraId="014480C9" w14:textId="77777777" w:rsidR="00017599" w:rsidRPr="006A0175" w:rsidRDefault="00CE39D4" w:rsidP="001228C8">
            <w:pPr>
              <w:spacing w:after="0" w:line="240" w:lineRule="auto"/>
              <w:jc w:val="center"/>
              <w:rPr>
                <w:rFonts w:ascii="Times New Roman" w:eastAsia="Times New Roman" w:hAnsi="Times New Roman" w:cs="Times New Roman"/>
                <w:color w:val="000000"/>
                <w:sz w:val="24"/>
                <w:szCs w:val="24"/>
                <w:lang w:val="es-CL" w:eastAsia="es-CL"/>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GD</m:t>
                    </m:r>
                  </m:sup>
                </m:sSubSup>
              </m:oMath>
            </m:oMathPara>
          </w:p>
        </w:tc>
        <w:tc>
          <w:tcPr>
            <w:tcW w:w="992" w:type="dxa"/>
            <w:tcBorders>
              <w:top w:val="single" w:sz="4" w:space="0" w:color="auto"/>
              <w:left w:val="nil"/>
              <w:bottom w:val="double" w:sz="6" w:space="0" w:color="auto"/>
              <w:right w:val="nil"/>
            </w:tcBorders>
          </w:tcPr>
          <w:p w14:paraId="3C0D612F" w14:textId="77777777" w:rsid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CPJ</m:t>
                    </m:r>
                  </m:sup>
                </m:sSubSup>
              </m:oMath>
            </m:oMathPara>
          </w:p>
        </w:tc>
        <w:tc>
          <w:tcPr>
            <w:tcW w:w="1134" w:type="dxa"/>
            <w:tcBorders>
              <w:top w:val="single" w:sz="4" w:space="0" w:color="auto"/>
              <w:left w:val="nil"/>
              <w:bottom w:val="double" w:sz="6" w:space="0" w:color="auto"/>
              <w:right w:val="nil"/>
            </w:tcBorders>
          </w:tcPr>
          <w:p w14:paraId="68560A76" w14:textId="77777777" w:rsid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PI</m:t>
                    </m:r>
                  </m:sup>
                </m:sSubSup>
              </m:oMath>
            </m:oMathPara>
          </w:p>
        </w:tc>
        <w:tc>
          <w:tcPr>
            <w:tcW w:w="1370" w:type="dxa"/>
            <w:tcBorders>
              <w:top w:val="single" w:sz="4" w:space="0" w:color="auto"/>
              <w:left w:val="nil"/>
              <w:bottom w:val="double" w:sz="6" w:space="0" w:color="auto"/>
              <w:right w:val="nil"/>
            </w:tcBorders>
          </w:tcPr>
          <w:p w14:paraId="47DC339F" w14:textId="77777777" w:rsid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TE</m:t>
                    </m:r>
                  </m:sup>
                </m:sSubSup>
              </m:oMath>
            </m:oMathPara>
          </w:p>
        </w:tc>
        <w:tc>
          <w:tcPr>
            <w:tcW w:w="599" w:type="dxa"/>
            <w:tcBorders>
              <w:top w:val="single" w:sz="4" w:space="0" w:color="auto"/>
              <w:left w:val="nil"/>
              <w:bottom w:val="double" w:sz="6" w:space="0" w:color="auto"/>
              <w:right w:val="nil"/>
            </w:tcBorders>
          </w:tcPr>
          <w:p w14:paraId="65B54409" w14:textId="77777777" w:rsid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ω</m:t>
                    </m:r>
                  </m:e>
                  <m:sub/>
                  <m:sup>
                    <m:r>
                      <w:rPr>
                        <w:rFonts w:ascii="Cambria Math" w:eastAsiaTheme="minorEastAsia" w:hAnsi="Cambria Math"/>
                        <w:sz w:val="24"/>
                        <w:szCs w:val="24"/>
                      </w:rPr>
                      <m:t>ME</m:t>
                    </m:r>
                  </m:sup>
                </m:sSubSup>
              </m:oMath>
            </m:oMathPara>
          </w:p>
        </w:tc>
      </w:tr>
      <w:tr w:rsidR="00017599" w:rsidRPr="006A0175" w14:paraId="0D4C00DF" w14:textId="77777777" w:rsidTr="001228C8">
        <w:trPr>
          <w:trHeight w:val="330"/>
          <w:jc w:val="center"/>
        </w:trPr>
        <w:tc>
          <w:tcPr>
            <w:tcW w:w="1195" w:type="dxa"/>
            <w:tcBorders>
              <w:top w:val="nil"/>
              <w:left w:val="nil"/>
              <w:bottom w:val="nil"/>
              <w:right w:val="nil"/>
            </w:tcBorders>
          </w:tcPr>
          <w:p w14:paraId="767FC143" w14:textId="3817809B" w:rsidR="00017599" w:rsidRDefault="00017599" w:rsidP="00017599">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Grandes</w:t>
            </w:r>
          </w:p>
        </w:tc>
        <w:tc>
          <w:tcPr>
            <w:tcW w:w="1499" w:type="dxa"/>
            <w:tcBorders>
              <w:top w:val="nil"/>
              <w:left w:val="nil"/>
              <w:bottom w:val="nil"/>
              <w:right w:val="nil"/>
            </w:tcBorders>
            <w:shd w:val="clear" w:color="auto" w:fill="auto"/>
            <w:noWrap/>
            <w:vAlign w:val="bottom"/>
            <w:hideMark/>
          </w:tcPr>
          <w:p w14:paraId="1E261C75" w14:textId="467452C7"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27.5</w:t>
            </w:r>
          </w:p>
        </w:tc>
        <w:tc>
          <w:tcPr>
            <w:tcW w:w="1134" w:type="dxa"/>
            <w:tcBorders>
              <w:top w:val="nil"/>
              <w:left w:val="nil"/>
              <w:bottom w:val="nil"/>
              <w:right w:val="nil"/>
            </w:tcBorders>
            <w:vAlign w:val="bottom"/>
          </w:tcPr>
          <w:p w14:paraId="371E6462" w14:textId="7798832B"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19.8</w:t>
            </w:r>
          </w:p>
        </w:tc>
        <w:tc>
          <w:tcPr>
            <w:tcW w:w="992" w:type="dxa"/>
            <w:tcBorders>
              <w:top w:val="nil"/>
              <w:left w:val="nil"/>
              <w:bottom w:val="nil"/>
              <w:right w:val="nil"/>
            </w:tcBorders>
            <w:vAlign w:val="bottom"/>
          </w:tcPr>
          <w:p w14:paraId="23FDE011" w14:textId="30ECF186"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38.3</w:t>
            </w:r>
          </w:p>
        </w:tc>
        <w:tc>
          <w:tcPr>
            <w:tcW w:w="1134" w:type="dxa"/>
            <w:tcBorders>
              <w:top w:val="nil"/>
              <w:left w:val="nil"/>
              <w:bottom w:val="nil"/>
              <w:right w:val="nil"/>
            </w:tcBorders>
            <w:vAlign w:val="bottom"/>
          </w:tcPr>
          <w:p w14:paraId="5D89A532" w14:textId="0CFA608C"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1.0</w:t>
            </w:r>
          </w:p>
        </w:tc>
        <w:tc>
          <w:tcPr>
            <w:tcW w:w="1370" w:type="dxa"/>
            <w:tcBorders>
              <w:top w:val="nil"/>
              <w:left w:val="nil"/>
              <w:bottom w:val="nil"/>
              <w:right w:val="nil"/>
            </w:tcBorders>
            <w:vAlign w:val="bottom"/>
          </w:tcPr>
          <w:p w14:paraId="049351C6" w14:textId="7C569D8B"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5.1</w:t>
            </w:r>
          </w:p>
        </w:tc>
        <w:tc>
          <w:tcPr>
            <w:tcW w:w="599" w:type="dxa"/>
            <w:tcBorders>
              <w:top w:val="nil"/>
              <w:left w:val="nil"/>
              <w:bottom w:val="nil"/>
              <w:right w:val="nil"/>
            </w:tcBorders>
            <w:vAlign w:val="bottom"/>
          </w:tcPr>
          <w:p w14:paraId="22B4CDE8" w14:textId="21E6D0AA" w:rsidR="00017599" w:rsidRPr="00017599" w:rsidRDefault="00017599" w:rsidP="00017599">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8.2</w:t>
            </w:r>
          </w:p>
        </w:tc>
      </w:tr>
      <w:tr w:rsidR="00017599" w:rsidRPr="006A0175" w14:paraId="0567DCF8" w14:textId="77777777" w:rsidTr="001228C8">
        <w:trPr>
          <w:trHeight w:val="315"/>
          <w:jc w:val="center"/>
        </w:trPr>
        <w:tc>
          <w:tcPr>
            <w:tcW w:w="1195" w:type="dxa"/>
            <w:tcBorders>
              <w:top w:val="nil"/>
              <w:left w:val="nil"/>
              <w:bottom w:val="single" w:sz="4" w:space="0" w:color="auto"/>
              <w:right w:val="nil"/>
            </w:tcBorders>
          </w:tcPr>
          <w:p w14:paraId="37CA1858" w14:textId="0F0AFA46" w:rsid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Pymes</w:t>
            </w:r>
          </w:p>
        </w:tc>
        <w:tc>
          <w:tcPr>
            <w:tcW w:w="1499" w:type="dxa"/>
            <w:tcBorders>
              <w:top w:val="nil"/>
              <w:left w:val="nil"/>
              <w:bottom w:val="single" w:sz="4" w:space="0" w:color="auto"/>
              <w:right w:val="nil"/>
            </w:tcBorders>
            <w:shd w:val="clear" w:color="auto" w:fill="auto"/>
            <w:noWrap/>
            <w:vAlign w:val="bottom"/>
            <w:hideMark/>
          </w:tcPr>
          <w:p w14:paraId="5F14BDAF" w14:textId="2EDFC447"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43.0</w:t>
            </w:r>
          </w:p>
        </w:tc>
        <w:tc>
          <w:tcPr>
            <w:tcW w:w="1134" w:type="dxa"/>
            <w:tcBorders>
              <w:top w:val="nil"/>
              <w:left w:val="nil"/>
              <w:bottom w:val="single" w:sz="4" w:space="0" w:color="auto"/>
              <w:right w:val="nil"/>
            </w:tcBorders>
            <w:vAlign w:val="bottom"/>
          </w:tcPr>
          <w:p w14:paraId="39BDDAFC" w14:textId="5979AC50"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20.8</w:t>
            </w:r>
          </w:p>
        </w:tc>
        <w:tc>
          <w:tcPr>
            <w:tcW w:w="992" w:type="dxa"/>
            <w:tcBorders>
              <w:top w:val="nil"/>
              <w:left w:val="nil"/>
              <w:bottom w:val="single" w:sz="4" w:space="0" w:color="auto"/>
              <w:right w:val="nil"/>
            </w:tcBorders>
            <w:vAlign w:val="bottom"/>
          </w:tcPr>
          <w:p w14:paraId="4386CB6A" w14:textId="2BD44EB5"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26.9</w:t>
            </w:r>
          </w:p>
        </w:tc>
        <w:tc>
          <w:tcPr>
            <w:tcW w:w="1134" w:type="dxa"/>
            <w:tcBorders>
              <w:top w:val="nil"/>
              <w:left w:val="nil"/>
              <w:bottom w:val="single" w:sz="4" w:space="0" w:color="auto"/>
              <w:right w:val="nil"/>
            </w:tcBorders>
            <w:vAlign w:val="bottom"/>
          </w:tcPr>
          <w:p w14:paraId="2536817E" w14:textId="0ADC40D6"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1.6</w:t>
            </w:r>
          </w:p>
        </w:tc>
        <w:tc>
          <w:tcPr>
            <w:tcW w:w="1370" w:type="dxa"/>
            <w:tcBorders>
              <w:top w:val="nil"/>
              <w:left w:val="nil"/>
              <w:bottom w:val="single" w:sz="4" w:space="0" w:color="auto"/>
              <w:right w:val="nil"/>
            </w:tcBorders>
            <w:vAlign w:val="bottom"/>
          </w:tcPr>
          <w:p w14:paraId="37128C66" w14:textId="3EB0055E"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4.9</w:t>
            </w:r>
          </w:p>
        </w:tc>
        <w:tc>
          <w:tcPr>
            <w:tcW w:w="599" w:type="dxa"/>
            <w:tcBorders>
              <w:top w:val="nil"/>
              <w:left w:val="nil"/>
              <w:bottom w:val="single" w:sz="4" w:space="0" w:color="auto"/>
              <w:right w:val="nil"/>
            </w:tcBorders>
            <w:vAlign w:val="bottom"/>
          </w:tcPr>
          <w:p w14:paraId="5DA105C9" w14:textId="01CAC6C3" w:rsidR="00017599" w:rsidRPr="00017599" w:rsidRDefault="00017599" w:rsidP="00017599">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2.8</w:t>
            </w:r>
          </w:p>
        </w:tc>
      </w:tr>
    </w:tbl>
    <w:p w14:paraId="14ECB96E" w14:textId="67FC0729" w:rsidR="000F2E5E" w:rsidRPr="00357B6F" w:rsidRDefault="000F2E5E" w:rsidP="002F443F">
      <w:pPr>
        <w:rPr>
          <w:rFonts w:eastAsiaTheme="minorEastAsia"/>
        </w:rPr>
      </w:pPr>
    </w:p>
    <w:p w14:paraId="6997B446" w14:textId="66B1DE5C" w:rsidR="00DA0D79" w:rsidRPr="006D7B29" w:rsidRDefault="005C0F1F" w:rsidP="00DA0D79">
      <w:pPr>
        <w:jc w:val="center"/>
        <w:rPr>
          <w:rFonts w:ascii="Times New Roman" w:eastAsiaTheme="minorEastAsia" w:hAnsi="Times New Roman" w:cs="Times New Roman"/>
          <w:sz w:val="24"/>
          <w:szCs w:val="24"/>
          <w:u w:val="single"/>
          <w:lang w:val="es-CL"/>
        </w:rPr>
      </w:pPr>
      <w:r>
        <w:rPr>
          <w:rFonts w:ascii="Times New Roman" w:eastAsiaTheme="minorEastAsia" w:hAnsi="Times New Roman" w:cs="Times New Roman"/>
          <w:sz w:val="24"/>
          <w:szCs w:val="24"/>
          <w:u w:val="single"/>
          <w:lang w:val="es-CL"/>
        </w:rPr>
        <w:t>Cuadro 3</w:t>
      </w:r>
      <w:r w:rsidR="00DA0D79">
        <w:rPr>
          <w:rFonts w:ascii="Times New Roman" w:eastAsiaTheme="minorEastAsia" w:hAnsi="Times New Roman" w:cs="Times New Roman"/>
          <w:sz w:val="24"/>
          <w:szCs w:val="24"/>
          <w:u w:val="single"/>
          <w:lang w:val="es-CL"/>
        </w:rPr>
        <w:t>.5</w:t>
      </w:r>
      <w:r w:rsidR="00DA0D79" w:rsidRPr="006D7B29">
        <w:rPr>
          <w:rFonts w:ascii="Times New Roman" w:eastAsiaTheme="minorEastAsia" w:hAnsi="Times New Roman" w:cs="Times New Roman"/>
          <w:sz w:val="24"/>
          <w:szCs w:val="24"/>
          <w:u w:val="single"/>
          <w:lang w:val="es-CL"/>
        </w:rPr>
        <w:t>: Factores d</w:t>
      </w:r>
      <w:r w:rsidR="00DA0D79">
        <w:rPr>
          <w:rFonts w:ascii="Times New Roman" w:eastAsiaTheme="minorEastAsia" w:hAnsi="Times New Roman" w:cs="Times New Roman"/>
          <w:sz w:val="24"/>
          <w:szCs w:val="24"/>
          <w:u w:val="single"/>
          <w:lang w:val="es-CL"/>
        </w:rPr>
        <w:t xml:space="preserve">el modelo empírico según </w:t>
      </w:r>
      <w:r w:rsidR="00DA0D79" w:rsidRPr="006D7B29">
        <w:rPr>
          <w:rFonts w:ascii="Times New Roman" w:eastAsiaTheme="minorEastAsia" w:hAnsi="Times New Roman" w:cs="Times New Roman"/>
          <w:sz w:val="24"/>
          <w:szCs w:val="24"/>
          <w:u w:val="single"/>
          <w:lang w:val="es-CL"/>
        </w:rPr>
        <w:t>sector económico</w:t>
      </w:r>
    </w:p>
    <w:tbl>
      <w:tblPr>
        <w:tblW w:w="7929" w:type="dxa"/>
        <w:jc w:val="center"/>
        <w:tblCellMar>
          <w:left w:w="70" w:type="dxa"/>
          <w:right w:w="70" w:type="dxa"/>
        </w:tblCellMar>
        <w:tblLook w:val="04A0" w:firstRow="1" w:lastRow="0" w:firstColumn="1" w:lastColumn="0" w:noHBand="0" w:noVBand="1"/>
      </w:tblPr>
      <w:tblGrid>
        <w:gridCol w:w="3175"/>
        <w:gridCol w:w="560"/>
        <w:gridCol w:w="943"/>
        <w:gridCol w:w="851"/>
        <w:gridCol w:w="644"/>
        <w:gridCol w:w="1157"/>
        <w:gridCol w:w="599"/>
      </w:tblGrid>
      <w:tr w:rsidR="000F2E5E" w:rsidRPr="00017599" w14:paraId="1F632C03" w14:textId="77777777" w:rsidTr="000F2E5E">
        <w:trPr>
          <w:trHeight w:val="365"/>
          <w:jc w:val="center"/>
        </w:trPr>
        <w:tc>
          <w:tcPr>
            <w:tcW w:w="3175" w:type="dxa"/>
            <w:tcBorders>
              <w:top w:val="single" w:sz="4" w:space="0" w:color="auto"/>
              <w:left w:val="nil"/>
              <w:bottom w:val="double" w:sz="6" w:space="0" w:color="auto"/>
              <w:right w:val="nil"/>
            </w:tcBorders>
          </w:tcPr>
          <w:p w14:paraId="5027136B" w14:textId="77777777" w:rsidR="000F2E5E" w:rsidRPr="00017599" w:rsidRDefault="000F2E5E" w:rsidP="001228C8">
            <w:pPr>
              <w:spacing w:after="0" w:line="240" w:lineRule="auto"/>
              <w:jc w:val="center"/>
              <w:rPr>
                <w:rFonts w:ascii="Times New Roman" w:eastAsia="Times New Roman" w:hAnsi="Times New Roman" w:cs="Times New Roman"/>
                <w:color w:val="000000"/>
                <w:sz w:val="24"/>
                <w:szCs w:val="24"/>
                <w:lang w:val="es-CL" w:eastAsia="es-CL"/>
              </w:rPr>
            </w:pPr>
          </w:p>
        </w:tc>
        <w:tc>
          <w:tcPr>
            <w:tcW w:w="560" w:type="dxa"/>
            <w:tcBorders>
              <w:top w:val="single" w:sz="4" w:space="0" w:color="auto"/>
              <w:left w:val="nil"/>
              <w:bottom w:val="double" w:sz="6" w:space="0" w:color="auto"/>
              <w:right w:val="nil"/>
            </w:tcBorders>
            <w:shd w:val="clear" w:color="auto" w:fill="auto"/>
            <w:vAlign w:val="center"/>
            <w:hideMark/>
          </w:tcPr>
          <w:p w14:paraId="0620D1F5" w14:textId="77777777" w:rsidR="000F2E5E" w:rsidRPr="00017599" w:rsidRDefault="000F2E5E" w:rsidP="001228C8">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eastAsia="Times New Roman" w:hAnsi="Times New Roman" w:cs="Times New Roman"/>
                <w:color w:val="000000"/>
                <w:sz w:val="24"/>
                <w:szCs w:val="24"/>
                <w:lang w:val="es-CL" w:eastAsia="es-CL"/>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L</m:t>
                  </m:r>
                </m:sup>
              </m:sSubSup>
            </m:oMath>
            <w:r w:rsidRPr="00017599">
              <w:rPr>
                <w:rFonts w:ascii="Times New Roman" w:eastAsia="Times New Roman" w:hAnsi="Times New Roman" w:cs="Times New Roman"/>
                <w:sz w:val="24"/>
                <w:szCs w:val="24"/>
              </w:rPr>
              <w:t xml:space="preserve"> </w:t>
            </w:r>
          </w:p>
        </w:tc>
        <w:tc>
          <w:tcPr>
            <w:tcW w:w="943" w:type="dxa"/>
            <w:tcBorders>
              <w:top w:val="single" w:sz="4" w:space="0" w:color="auto"/>
              <w:left w:val="nil"/>
              <w:bottom w:val="double" w:sz="6" w:space="0" w:color="auto"/>
              <w:right w:val="nil"/>
            </w:tcBorders>
          </w:tcPr>
          <w:p w14:paraId="34234E90" w14:textId="77777777" w:rsidR="000F2E5E" w:rsidRPr="00017599" w:rsidRDefault="00CE39D4" w:rsidP="001228C8">
            <w:pPr>
              <w:spacing w:after="0" w:line="240" w:lineRule="auto"/>
              <w:jc w:val="center"/>
              <w:rPr>
                <w:rFonts w:ascii="Times New Roman" w:eastAsia="Times New Roman" w:hAnsi="Times New Roman" w:cs="Times New Roman"/>
                <w:color w:val="000000"/>
                <w:sz w:val="24"/>
                <w:szCs w:val="24"/>
                <w:lang w:val="es-CL" w:eastAsia="es-CL"/>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GD</m:t>
                    </m:r>
                  </m:sup>
                </m:sSubSup>
              </m:oMath>
            </m:oMathPara>
          </w:p>
        </w:tc>
        <w:tc>
          <w:tcPr>
            <w:tcW w:w="851" w:type="dxa"/>
            <w:tcBorders>
              <w:top w:val="single" w:sz="4" w:space="0" w:color="auto"/>
              <w:left w:val="nil"/>
              <w:bottom w:val="double" w:sz="6" w:space="0" w:color="auto"/>
              <w:right w:val="nil"/>
            </w:tcBorders>
          </w:tcPr>
          <w:p w14:paraId="4989CABF" w14:textId="77777777" w:rsidR="000F2E5E" w:rsidRP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CPJ</m:t>
                    </m:r>
                  </m:sup>
                </m:sSubSup>
              </m:oMath>
            </m:oMathPara>
          </w:p>
        </w:tc>
        <w:tc>
          <w:tcPr>
            <w:tcW w:w="644" w:type="dxa"/>
            <w:tcBorders>
              <w:top w:val="single" w:sz="4" w:space="0" w:color="auto"/>
              <w:left w:val="nil"/>
              <w:bottom w:val="double" w:sz="6" w:space="0" w:color="auto"/>
              <w:right w:val="nil"/>
            </w:tcBorders>
          </w:tcPr>
          <w:p w14:paraId="4633D276" w14:textId="77777777" w:rsidR="000F2E5E" w:rsidRP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PI</m:t>
                    </m:r>
                  </m:sup>
                </m:sSubSup>
              </m:oMath>
            </m:oMathPara>
          </w:p>
        </w:tc>
        <w:tc>
          <w:tcPr>
            <w:tcW w:w="1157" w:type="dxa"/>
            <w:tcBorders>
              <w:top w:val="single" w:sz="4" w:space="0" w:color="auto"/>
              <w:left w:val="nil"/>
              <w:bottom w:val="double" w:sz="6" w:space="0" w:color="auto"/>
              <w:right w:val="nil"/>
            </w:tcBorders>
          </w:tcPr>
          <w:p w14:paraId="4D1DC0DF" w14:textId="77777777" w:rsidR="000F2E5E" w:rsidRP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TE</m:t>
                    </m:r>
                  </m:sup>
                </m:sSubSup>
              </m:oMath>
            </m:oMathPara>
          </w:p>
        </w:tc>
        <w:tc>
          <w:tcPr>
            <w:tcW w:w="599" w:type="dxa"/>
            <w:tcBorders>
              <w:top w:val="single" w:sz="4" w:space="0" w:color="auto"/>
              <w:left w:val="nil"/>
              <w:bottom w:val="double" w:sz="6" w:space="0" w:color="auto"/>
              <w:right w:val="nil"/>
            </w:tcBorders>
          </w:tcPr>
          <w:p w14:paraId="097D1A35" w14:textId="77777777" w:rsidR="000F2E5E" w:rsidRPr="00017599" w:rsidRDefault="00CE39D4" w:rsidP="001228C8">
            <w:pPr>
              <w:spacing w:after="0" w:line="240" w:lineRule="auto"/>
              <w:jc w:val="center"/>
              <w:rPr>
                <w:rFonts w:ascii="Times New Roman" w:eastAsia="Times New Roman" w:hAnsi="Times New Roman" w:cs="Times New Roman"/>
                <w:sz w:val="24"/>
                <w:szCs w:val="24"/>
              </w:rPr>
            </w:pPr>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sup>
                    <m:r>
                      <w:rPr>
                        <w:rFonts w:ascii="Cambria Math" w:eastAsiaTheme="minorEastAsia" w:hAnsi="Cambria Math" w:cs="Times New Roman"/>
                        <w:sz w:val="24"/>
                        <w:szCs w:val="24"/>
                      </w:rPr>
                      <m:t>ME</m:t>
                    </m:r>
                  </m:sup>
                </m:sSubSup>
              </m:oMath>
            </m:oMathPara>
          </w:p>
        </w:tc>
      </w:tr>
      <w:tr w:rsidR="000F2E5E" w:rsidRPr="00017599" w14:paraId="599EA67C" w14:textId="77777777" w:rsidTr="000F2E5E">
        <w:trPr>
          <w:trHeight w:val="330"/>
          <w:jc w:val="center"/>
        </w:trPr>
        <w:tc>
          <w:tcPr>
            <w:tcW w:w="3175" w:type="dxa"/>
            <w:tcBorders>
              <w:top w:val="nil"/>
              <w:left w:val="nil"/>
              <w:bottom w:val="nil"/>
              <w:right w:val="nil"/>
            </w:tcBorders>
          </w:tcPr>
          <w:p w14:paraId="3A9C30E1" w14:textId="2EBABB95" w:rsidR="000F2E5E" w:rsidRPr="00017599" w:rsidRDefault="000F2E5E" w:rsidP="000F2E5E">
            <w:pPr>
              <w:spacing w:after="0" w:line="240" w:lineRule="auto"/>
              <w:rPr>
                <w:rFonts w:ascii="Times New Roman" w:eastAsia="Times New Roman" w:hAnsi="Times New Roman" w:cs="Times New Roman"/>
                <w:sz w:val="24"/>
                <w:szCs w:val="24"/>
                <w:lang w:val="es-CL" w:eastAsia="es-CL"/>
              </w:rPr>
            </w:pPr>
            <w:r w:rsidRPr="00017599">
              <w:rPr>
                <w:rFonts w:ascii="Times New Roman" w:eastAsia="Times New Roman" w:hAnsi="Times New Roman" w:cs="Times New Roman"/>
                <w:sz w:val="24"/>
                <w:szCs w:val="24"/>
                <w:lang w:val="es-CL" w:eastAsia="es-CL"/>
              </w:rPr>
              <w:t>Minería</w:t>
            </w:r>
          </w:p>
        </w:tc>
        <w:tc>
          <w:tcPr>
            <w:tcW w:w="560" w:type="dxa"/>
            <w:tcBorders>
              <w:top w:val="nil"/>
              <w:left w:val="nil"/>
              <w:bottom w:val="nil"/>
              <w:right w:val="nil"/>
            </w:tcBorders>
            <w:shd w:val="clear" w:color="auto" w:fill="auto"/>
            <w:noWrap/>
            <w:vAlign w:val="bottom"/>
            <w:hideMark/>
          </w:tcPr>
          <w:p w14:paraId="150BEDA6" w14:textId="589269FB"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31.4</w:t>
            </w:r>
          </w:p>
        </w:tc>
        <w:tc>
          <w:tcPr>
            <w:tcW w:w="943" w:type="dxa"/>
            <w:tcBorders>
              <w:top w:val="nil"/>
              <w:left w:val="nil"/>
              <w:bottom w:val="nil"/>
              <w:right w:val="nil"/>
            </w:tcBorders>
            <w:vAlign w:val="bottom"/>
          </w:tcPr>
          <w:p w14:paraId="05A8BED8" w14:textId="03F8A4CB"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32.2</w:t>
            </w:r>
          </w:p>
        </w:tc>
        <w:tc>
          <w:tcPr>
            <w:tcW w:w="851" w:type="dxa"/>
            <w:tcBorders>
              <w:top w:val="nil"/>
              <w:left w:val="nil"/>
              <w:bottom w:val="nil"/>
              <w:right w:val="nil"/>
            </w:tcBorders>
            <w:vAlign w:val="bottom"/>
          </w:tcPr>
          <w:p w14:paraId="35AE0729" w14:textId="74D6B4B8"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22.3</w:t>
            </w:r>
          </w:p>
        </w:tc>
        <w:tc>
          <w:tcPr>
            <w:tcW w:w="644" w:type="dxa"/>
            <w:tcBorders>
              <w:top w:val="nil"/>
              <w:left w:val="nil"/>
              <w:bottom w:val="nil"/>
              <w:right w:val="nil"/>
            </w:tcBorders>
            <w:vAlign w:val="bottom"/>
          </w:tcPr>
          <w:p w14:paraId="70558D8D" w14:textId="6BDFE0CA"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2.6</w:t>
            </w:r>
          </w:p>
        </w:tc>
        <w:tc>
          <w:tcPr>
            <w:tcW w:w="1157" w:type="dxa"/>
            <w:tcBorders>
              <w:top w:val="nil"/>
              <w:left w:val="nil"/>
              <w:bottom w:val="nil"/>
              <w:right w:val="nil"/>
            </w:tcBorders>
            <w:vAlign w:val="bottom"/>
          </w:tcPr>
          <w:p w14:paraId="1D245C60" w14:textId="06BF9F98"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6.4</w:t>
            </w:r>
          </w:p>
        </w:tc>
        <w:tc>
          <w:tcPr>
            <w:tcW w:w="599" w:type="dxa"/>
            <w:tcBorders>
              <w:top w:val="nil"/>
              <w:left w:val="nil"/>
              <w:bottom w:val="nil"/>
              <w:right w:val="nil"/>
            </w:tcBorders>
            <w:vAlign w:val="bottom"/>
          </w:tcPr>
          <w:p w14:paraId="16F895FC" w14:textId="005A4797" w:rsidR="000F2E5E" w:rsidRPr="00017599" w:rsidRDefault="000F2E5E" w:rsidP="000F2E5E">
            <w:pPr>
              <w:spacing w:after="0" w:line="240" w:lineRule="auto"/>
              <w:jc w:val="center"/>
              <w:rPr>
                <w:rFonts w:ascii="Times New Roman" w:eastAsia="Times New Roman" w:hAnsi="Times New Roman" w:cs="Times New Roman"/>
                <w:sz w:val="24"/>
                <w:szCs w:val="24"/>
                <w:lang w:val="es-CL" w:eastAsia="es-CL"/>
              </w:rPr>
            </w:pPr>
            <w:r w:rsidRPr="00017599">
              <w:rPr>
                <w:rFonts w:ascii="Times New Roman" w:hAnsi="Times New Roman" w:cs="Times New Roman"/>
                <w:color w:val="000000"/>
                <w:sz w:val="24"/>
                <w:szCs w:val="24"/>
              </w:rPr>
              <w:t>5.2</w:t>
            </w:r>
          </w:p>
        </w:tc>
      </w:tr>
      <w:tr w:rsidR="000F2E5E" w:rsidRPr="00017599" w14:paraId="13CD868D" w14:textId="77777777" w:rsidTr="000F2E5E">
        <w:trPr>
          <w:trHeight w:val="315"/>
          <w:jc w:val="center"/>
        </w:trPr>
        <w:tc>
          <w:tcPr>
            <w:tcW w:w="3175" w:type="dxa"/>
            <w:tcBorders>
              <w:top w:val="nil"/>
              <w:left w:val="nil"/>
              <w:bottom w:val="nil"/>
              <w:right w:val="nil"/>
            </w:tcBorders>
          </w:tcPr>
          <w:p w14:paraId="3665B6E4" w14:textId="746BFDA7"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r w:rsidRPr="00017599">
              <w:rPr>
                <w:rFonts w:ascii="Times New Roman" w:eastAsia="Times New Roman" w:hAnsi="Times New Roman" w:cs="Times New Roman"/>
                <w:color w:val="000000"/>
                <w:sz w:val="24"/>
                <w:szCs w:val="24"/>
                <w:lang w:val="es-CL" w:eastAsia="es-CL"/>
              </w:rPr>
              <w:t>Agricultura, ganadería y pesca</w:t>
            </w:r>
          </w:p>
        </w:tc>
        <w:tc>
          <w:tcPr>
            <w:tcW w:w="560" w:type="dxa"/>
            <w:tcBorders>
              <w:top w:val="nil"/>
              <w:left w:val="nil"/>
              <w:bottom w:val="nil"/>
              <w:right w:val="nil"/>
            </w:tcBorders>
            <w:shd w:val="clear" w:color="auto" w:fill="auto"/>
            <w:noWrap/>
            <w:vAlign w:val="bottom"/>
            <w:hideMark/>
          </w:tcPr>
          <w:p w14:paraId="77262C7B" w14:textId="2279164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26.7</w:t>
            </w:r>
          </w:p>
        </w:tc>
        <w:tc>
          <w:tcPr>
            <w:tcW w:w="943" w:type="dxa"/>
            <w:tcBorders>
              <w:top w:val="nil"/>
              <w:left w:val="nil"/>
              <w:bottom w:val="nil"/>
              <w:right w:val="nil"/>
            </w:tcBorders>
            <w:vAlign w:val="bottom"/>
          </w:tcPr>
          <w:p w14:paraId="0E855ADB" w14:textId="1A58013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20.8</w:t>
            </w:r>
          </w:p>
        </w:tc>
        <w:tc>
          <w:tcPr>
            <w:tcW w:w="851" w:type="dxa"/>
            <w:tcBorders>
              <w:top w:val="nil"/>
              <w:left w:val="nil"/>
              <w:bottom w:val="nil"/>
              <w:right w:val="nil"/>
            </w:tcBorders>
            <w:vAlign w:val="bottom"/>
          </w:tcPr>
          <w:p w14:paraId="2CFB33E4" w14:textId="3D32E93B"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43.3</w:t>
            </w:r>
          </w:p>
        </w:tc>
        <w:tc>
          <w:tcPr>
            <w:tcW w:w="644" w:type="dxa"/>
            <w:tcBorders>
              <w:top w:val="nil"/>
              <w:left w:val="nil"/>
              <w:bottom w:val="nil"/>
              <w:right w:val="nil"/>
            </w:tcBorders>
            <w:vAlign w:val="bottom"/>
          </w:tcPr>
          <w:p w14:paraId="3C026B60" w14:textId="652A3EE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0.9</w:t>
            </w:r>
          </w:p>
        </w:tc>
        <w:tc>
          <w:tcPr>
            <w:tcW w:w="1157" w:type="dxa"/>
            <w:tcBorders>
              <w:top w:val="nil"/>
              <w:left w:val="nil"/>
              <w:bottom w:val="nil"/>
              <w:right w:val="nil"/>
            </w:tcBorders>
            <w:vAlign w:val="bottom"/>
          </w:tcPr>
          <w:p w14:paraId="43DE0888" w14:textId="20BBB57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5.3</w:t>
            </w:r>
          </w:p>
        </w:tc>
        <w:tc>
          <w:tcPr>
            <w:tcW w:w="599" w:type="dxa"/>
            <w:tcBorders>
              <w:top w:val="nil"/>
              <w:left w:val="nil"/>
              <w:bottom w:val="nil"/>
              <w:right w:val="nil"/>
            </w:tcBorders>
            <w:vAlign w:val="bottom"/>
          </w:tcPr>
          <w:p w14:paraId="37FA2E43" w14:textId="5C2CE9F2"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3.1</w:t>
            </w:r>
          </w:p>
        </w:tc>
      </w:tr>
      <w:tr w:rsidR="000F2E5E" w:rsidRPr="00017599" w14:paraId="4DC416A4" w14:textId="77777777" w:rsidTr="000F2E5E">
        <w:trPr>
          <w:trHeight w:val="315"/>
          <w:jc w:val="center"/>
        </w:trPr>
        <w:tc>
          <w:tcPr>
            <w:tcW w:w="3175" w:type="dxa"/>
            <w:tcBorders>
              <w:top w:val="nil"/>
              <w:left w:val="nil"/>
              <w:bottom w:val="nil"/>
              <w:right w:val="nil"/>
            </w:tcBorders>
            <w:vAlign w:val="center"/>
          </w:tcPr>
          <w:p w14:paraId="0D1ACD8C" w14:textId="4F2A1A02"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Salud</w:t>
            </w:r>
          </w:p>
        </w:tc>
        <w:tc>
          <w:tcPr>
            <w:tcW w:w="560" w:type="dxa"/>
            <w:tcBorders>
              <w:top w:val="nil"/>
              <w:left w:val="nil"/>
              <w:bottom w:val="nil"/>
              <w:right w:val="nil"/>
            </w:tcBorders>
            <w:shd w:val="clear" w:color="auto" w:fill="auto"/>
            <w:noWrap/>
            <w:vAlign w:val="bottom"/>
          </w:tcPr>
          <w:p w14:paraId="584C2AA1" w14:textId="4217DBB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40.0</w:t>
            </w:r>
          </w:p>
        </w:tc>
        <w:tc>
          <w:tcPr>
            <w:tcW w:w="943" w:type="dxa"/>
            <w:tcBorders>
              <w:top w:val="nil"/>
              <w:left w:val="nil"/>
              <w:bottom w:val="nil"/>
              <w:right w:val="nil"/>
            </w:tcBorders>
            <w:vAlign w:val="bottom"/>
          </w:tcPr>
          <w:p w14:paraId="7D0C5A38" w14:textId="28546CB9"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17.4</w:t>
            </w:r>
          </w:p>
        </w:tc>
        <w:tc>
          <w:tcPr>
            <w:tcW w:w="851" w:type="dxa"/>
            <w:tcBorders>
              <w:top w:val="nil"/>
              <w:left w:val="nil"/>
              <w:bottom w:val="nil"/>
              <w:right w:val="nil"/>
            </w:tcBorders>
            <w:vAlign w:val="bottom"/>
          </w:tcPr>
          <w:p w14:paraId="5DEE2096" w14:textId="49DBB100"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33.8</w:t>
            </w:r>
          </w:p>
        </w:tc>
        <w:tc>
          <w:tcPr>
            <w:tcW w:w="644" w:type="dxa"/>
            <w:tcBorders>
              <w:top w:val="nil"/>
              <w:left w:val="nil"/>
              <w:bottom w:val="nil"/>
              <w:right w:val="nil"/>
            </w:tcBorders>
            <w:vAlign w:val="bottom"/>
          </w:tcPr>
          <w:p w14:paraId="1364F948" w14:textId="0C2224E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1.2</w:t>
            </w:r>
          </w:p>
        </w:tc>
        <w:tc>
          <w:tcPr>
            <w:tcW w:w="1157" w:type="dxa"/>
            <w:tcBorders>
              <w:top w:val="nil"/>
              <w:left w:val="nil"/>
              <w:bottom w:val="nil"/>
              <w:right w:val="nil"/>
            </w:tcBorders>
            <w:vAlign w:val="bottom"/>
          </w:tcPr>
          <w:p w14:paraId="23BBEA04" w14:textId="14EE1B2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3.6</w:t>
            </w:r>
          </w:p>
        </w:tc>
        <w:tc>
          <w:tcPr>
            <w:tcW w:w="599" w:type="dxa"/>
            <w:tcBorders>
              <w:top w:val="nil"/>
              <w:left w:val="nil"/>
              <w:bottom w:val="nil"/>
              <w:right w:val="nil"/>
            </w:tcBorders>
            <w:vAlign w:val="bottom"/>
          </w:tcPr>
          <w:p w14:paraId="7B0D7165" w14:textId="0D94058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4.0</w:t>
            </w:r>
          </w:p>
        </w:tc>
      </w:tr>
      <w:tr w:rsidR="000F2E5E" w:rsidRPr="00017599" w14:paraId="61D37C5A" w14:textId="77777777" w:rsidTr="000F2E5E">
        <w:trPr>
          <w:trHeight w:val="315"/>
          <w:jc w:val="center"/>
        </w:trPr>
        <w:tc>
          <w:tcPr>
            <w:tcW w:w="3175" w:type="dxa"/>
            <w:tcBorders>
              <w:top w:val="nil"/>
              <w:left w:val="nil"/>
              <w:bottom w:val="nil"/>
              <w:right w:val="nil"/>
            </w:tcBorders>
            <w:vAlign w:val="bottom"/>
          </w:tcPr>
          <w:p w14:paraId="6F91CCD8" w14:textId="4132AF0F"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Energía</w:t>
            </w:r>
          </w:p>
        </w:tc>
        <w:tc>
          <w:tcPr>
            <w:tcW w:w="560" w:type="dxa"/>
            <w:tcBorders>
              <w:top w:val="nil"/>
              <w:left w:val="nil"/>
              <w:bottom w:val="nil"/>
              <w:right w:val="nil"/>
            </w:tcBorders>
            <w:shd w:val="clear" w:color="auto" w:fill="auto"/>
            <w:noWrap/>
            <w:vAlign w:val="bottom"/>
          </w:tcPr>
          <w:p w14:paraId="476C77C0" w14:textId="02A4D088"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20.3</w:t>
            </w:r>
          </w:p>
        </w:tc>
        <w:tc>
          <w:tcPr>
            <w:tcW w:w="943" w:type="dxa"/>
            <w:tcBorders>
              <w:top w:val="nil"/>
              <w:left w:val="nil"/>
              <w:bottom w:val="nil"/>
              <w:right w:val="nil"/>
            </w:tcBorders>
            <w:vAlign w:val="bottom"/>
          </w:tcPr>
          <w:p w14:paraId="273ADABE" w14:textId="07E0A5A3"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16.6</w:t>
            </w:r>
          </w:p>
        </w:tc>
        <w:tc>
          <w:tcPr>
            <w:tcW w:w="851" w:type="dxa"/>
            <w:tcBorders>
              <w:top w:val="nil"/>
              <w:left w:val="nil"/>
              <w:bottom w:val="nil"/>
              <w:right w:val="nil"/>
            </w:tcBorders>
            <w:vAlign w:val="bottom"/>
          </w:tcPr>
          <w:p w14:paraId="17E66445" w14:textId="503F027B"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35.7</w:t>
            </w:r>
          </w:p>
        </w:tc>
        <w:tc>
          <w:tcPr>
            <w:tcW w:w="644" w:type="dxa"/>
            <w:tcBorders>
              <w:top w:val="nil"/>
              <w:left w:val="nil"/>
              <w:bottom w:val="nil"/>
              <w:right w:val="nil"/>
            </w:tcBorders>
            <w:vAlign w:val="bottom"/>
          </w:tcPr>
          <w:p w14:paraId="7CA17C36" w14:textId="1C4F1639"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0.6</w:t>
            </w:r>
          </w:p>
        </w:tc>
        <w:tc>
          <w:tcPr>
            <w:tcW w:w="1157" w:type="dxa"/>
            <w:tcBorders>
              <w:top w:val="nil"/>
              <w:left w:val="nil"/>
              <w:bottom w:val="nil"/>
              <w:right w:val="nil"/>
            </w:tcBorders>
            <w:vAlign w:val="bottom"/>
          </w:tcPr>
          <w:p w14:paraId="5A2718F4" w14:textId="2114425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4.0</w:t>
            </w:r>
          </w:p>
        </w:tc>
        <w:tc>
          <w:tcPr>
            <w:tcW w:w="599" w:type="dxa"/>
            <w:tcBorders>
              <w:top w:val="nil"/>
              <w:left w:val="nil"/>
              <w:bottom w:val="nil"/>
              <w:right w:val="nil"/>
            </w:tcBorders>
            <w:vAlign w:val="bottom"/>
          </w:tcPr>
          <w:p w14:paraId="28F533DD" w14:textId="21415E2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22.9</w:t>
            </w:r>
          </w:p>
        </w:tc>
      </w:tr>
      <w:tr w:rsidR="000F2E5E" w:rsidRPr="00017599" w14:paraId="44F12F6C" w14:textId="77777777" w:rsidTr="000F2E5E">
        <w:trPr>
          <w:trHeight w:val="315"/>
          <w:jc w:val="center"/>
        </w:trPr>
        <w:tc>
          <w:tcPr>
            <w:tcW w:w="3175" w:type="dxa"/>
            <w:tcBorders>
              <w:top w:val="nil"/>
              <w:left w:val="nil"/>
              <w:bottom w:val="nil"/>
              <w:right w:val="nil"/>
            </w:tcBorders>
            <w:vAlign w:val="center"/>
          </w:tcPr>
          <w:p w14:paraId="5B2FD720" w14:textId="1330B81E"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proofErr w:type="spellStart"/>
            <w:r w:rsidRPr="00017599">
              <w:rPr>
                <w:rFonts w:ascii="Times New Roman" w:hAnsi="Times New Roman" w:cs="Times New Roman"/>
                <w:color w:val="000000"/>
                <w:sz w:val="24"/>
                <w:szCs w:val="24"/>
              </w:rPr>
              <w:t>TICs</w:t>
            </w:r>
            <w:proofErr w:type="spellEnd"/>
          </w:p>
        </w:tc>
        <w:tc>
          <w:tcPr>
            <w:tcW w:w="560" w:type="dxa"/>
            <w:tcBorders>
              <w:top w:val="nil"/>
              <w:left w:val="nil"/>
              <w:bottom w:val="nil"/>
              <w:right w:val="nil"/>
            </w:tcBorders>
            <w:shd w:val="clear" w:color="auto" w:fill="auto"/>
            <w:noWrap/>
            <w:vAlign w:val="bottom"/>
          </w:tcPr>
          <w:p w14:paraId="555CD598" w14:textId="63C56BCF"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70.0</w:t>
            </w:r>
          </w:p>
        </w:tc>
        <w:tc>
          <w:tcPr>
            <w:tcW w:w="943" w:type="dxa"/>
            <w:tcBorders>
              <w:top w:val="nil"/>
              <w:left w:val="nil"/>
              <w:bottom w:val="nil"/>
              <w:right w:val="nil"/>
            </w:tcBorders>
            <w:vAlign w:val="bottom"/>
          </w:tcPr>
          <w:p w14:paraId="657B026E" w14:textId="27C5D126"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10.0</w:t>
            </w:r>
          </w:p>
        </w:tc>
        <w:tc>
          <w:tcPr>
            <w:tcW w:w="851" w:type="dxa"/>
            <w:tcBorders>
              <w:top w:val="nil"/>
              <w:left w:val="nil"/>
              <w:bottom w:val="nil"/>
              <w:right w:val="nil"/>
            </w:tcBorders>
            <w:vAlign w:val="bottom"/>
          </w:tcPr>
          <w:p w14:paraId="3B192A7A" w14:textId="6AF55653"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8.6</w:t>
            </w:r>
          </w:p>
        </w:tc>
        <w:tc>
          <w:tcPr>
            <w:tcW w:w="644" w:type="dxa"/>
            <w:tcBorders>
              <w:top w:val="nil"/>
              <w:left w:val="nil"/>
              <w:bottom w:val="nil"/>
              <w:right w:val="nil"/>
            </w:tcBorders>
            <w:vAlign w:val="bottom"/>
          </w:tcPr>
          <w:p w14:paraId="4F7F4F1B" w14:textId="60FD9ED8"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0.8</w:t>
            </w:r>
          </w:p>
        </w:tc>
        <w:tc>
          <w:tcPr>
            <w:tcW w:w="1157" w:type="dxa"/>
            <w:tcBorders>
              <w:top w:val="nil"/>
              <w:left w:val="nil"/>
              <w:bottom w:val="nil"/>
              <w:right w:val="nil"/>
            </w:tcBorders>
            <w:vAlign w:val="bottom"/>
          </w:tcPr>
          <w:p w14:paraId="620A8EE8" w14:textId="7CC3A57F"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9.3</w:t>
            </w:r>
          </w:p>
        </w:tc>
        <w:tc>
          <w:tcPr>
            <w:tcW w:w="599" w:type="dxa"/>
            <w:tcBorders>
              <w:top w:val="nil"/>
              <w:left w:val="nil"/>
              <w:bottom w:val="nil"/>
              <w:right w:val="nil"/>
            </w:tcBorders>
            <w:vAlign w:val="bottom"/>
          </w:tcPr>
          <w:p w14:paraId="4A193ACA" w14:textId="78B101F4"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1.4</w:t>
            </w:r>
          </w:p>
        </w:tc>
      </w:tr>
      <w:tr w:rsidR="000F2E5E" w:rsidRPr="00017599" w14:paraId="4E8F1337" w14:textId="77777777" w:rsidTr="000F2E5E">
        <w:trPr>
          <w:trHeight w:val="315"/>
          <w:jc w:val="center"/>
        </w:trPr>
        <w:tc>
          <w:tcPr>
            <w:tcW w:w="3175" w:type="dxa"/>
            <w:tcBorders>
              <w:top w:val="nil"/>
              <w:left w:val="nil"/>
              <w:bottom w:val="nil"/>
              <w:right w:val="nil"/>
            </w:tcBorders>
            <w:vAlign w:val="bottom"/>
          </w:tcPr>
          <w:p w14:paraId="4255EF27" w14:textId="1ED0B03B"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Manufactura</w:t>
            </w:r>
          </w:p>
        </w:tc>
        <w:tc>
          <w:tcPr>
            <w:tcW w:w="560" w:type="dxa"/>
            <w:tcBorders>
              <w:top w:val="nil"/>
              <w:left w:val="nil"/>
              <w:bottom w:val="nil"/>
              <w:right w:val="nil"/>
            </w:tcBorders>
            <w:shd w:val="clear" w:color="auto" w:fill="auto"/>
            <w:noWrap/>
            <w:vAlign w:val="bottom"/>
          </w:tcPr>
          <w:p w14:paraId="75C47C2A" w14:textId="39A4E18E"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45.4</w:t>
            </w:r>
          </w:p>
        </w:tc>
        <w:tc>
          <w:tcPr>
            <w:tcW w:w="943" w:type="dxa"/>
            <w:tcBorders>
              <w:top w:val="nil"/>
              <w:left w:val="nil"/>
              <w:bottom w:val="nil"/>
              <w:right w:val="nil"/>
            </w:tcBorders>
            <w:vAlign w:val="bottom"/>
          </w:tcPr>
          <w:p w14:paraId="0DDC3EAA" w14:textId="056DDE6E"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19.0</w:t>
            </w:r>
          </w:p>
        </w:tc>
        <w:tc>
          <w:tcPr>
            <w:tcW w:w="851" w:type="dxa"/>
            <w:tcBorders>
              <w:top w:val="nil"/>
              <w:left w:val="nil"/>
              <w:bottom w:val="nil"/>
              <w:right w:val="nil"/>
            </w:tcBorders>
            <w:vAlign w:val="bottom"/>
          </w:tcPr>
          <w:p w14:paraId="555CA658" w14:textId="62FACD4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24.1</w:t>
            </w:r>
          </w:p>
        </w:tc>
        <w:tc>
          <w:tcPr>
            <w:tcW w:w="644" w:type="dxa"/>
            <w:tcBorders>
              <w:top w:val="nil"/>
              <w:left w:val="nil"/>
              <w:bottom w:val="nil"/>
              <w:right w:val="nil"/>
            </w:tcBorders>
            <w:vAlign w:val="bottom"/>
          </w:tcPr>
          <w:p w14:paraId="5E666CB6" w14:textId="4AA1A975"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0.5</w:t>
            </w:r>
          </w:p>
        </w:tc>
        <w:tc>
          <w:tcPr>
            <w:tcW w:w="1157" w:type="dxa"/>
            <w:tcBorders>
              <w:top w:val="nil"/>
              <w:left w:val="nil"/>
              <w:bottom w:val="nil"/>
              <w:right w:val="nil"/>
            </w:tcBorders>
            <w:vAlign w:val="bottom"/>
          </w:tcPr>
          <w:p w14:paraId="1A656DCB" w14:textId="36EEBBBB"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3.5</w:t>
            </w:r>
          </w:p>
        </w:tc>
        <w:tc>
          <w:tcPr>
            <w:tcW w:w="599" w:type="dxa"/>
            <w:tcBorders>
              <w:top w:val="nil"/>
              <w:left w:val="nil"/>
              <w:bottom w:val="nil"/>
              <w:right w:val="nil"/>
            </w:tcBorders>
            <w:vAlign w:val="bottom"/>
          </w:tcPr>
          <w:p w14:paraId="4031B8E6" w14:textId="7FA4C0AF"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r w:rsidRPr="00017599">
              <w:rPr>
                <w:rFonts w:ascii="Times New Roman" w:hAnsi="Times New Roman" w:cs="Times New Roman"/>
                <w:color w:val="000000"/>
                <w:sz w:val="24"/>
                <w:szCs w:val="24"/>
              </w:rPr>
              <w:t>7.6</w:t>
            </w:r>
          </w:p>
        </w:tc>
      </w:tr>
      <w:tr w:rsidR="000F2E5E" w:rsidRPr="00017599" w14:paraId="2951C95B" w14:textId="77777777" w:rsidTr="000F2E5E">
        <w:trPr>
          <w:trHeight w:val="315"/>
          <w:jc w:val="center"/>
        </w:trPr>
        <w:tc>
          <w:tcPr>
            <w:tcW w:w="3175" w:type="dxa"/>
            <w:tcBorders>
              <w:top w:val="nil"/>
              <w:left w:val="nil"/>
              <w:bottom w:val="nil"/>
              <w:right w:val="nil"/>
            </w:tcBorders>
            <w:vAlign w:val="center"/>
          </w:tcPr>
          <w:p w14:paraId="1FAC0C0C" w14:textId="421D6737" w:rsidR="000F2E5E" w:rsidRPr="00017599" w:rsidRDefault="000F2E5E" w:rsidP="000F2E5E">
            <w:pPr>
              <w:spacing w:after="0" w:line="240" w:lineRule="auto"/>
              <w:rPr>
                <w:rFonts w:ascii="Times New Roman" w:hAnsi="Times New Roman" w:cs="Times New Roman"/>
                <w:color w:val="000000"/>
                <w:sz w:val="24"/>
                <w:szCs w:val="24"/>
              </w:rPr>
            </w:pPr>
            <w:r w:rsidRPr="00017599">
              <w:rPr>
                <w:rFonts w:ascii="Times New Roman" w:hAnsi="Times New Roman" w:cs="Times New Roman"/>
                <w:color w:val="000000"/>
                <w:sz w:val="24"/>
                <w:szCs w:val="24"/>
              </w:rPr>
              <w:t>Construcción</w:t>
            </w:r>
          </w:p>
        </w:tc>
        <w:tc>
          <w:tcPr>
            <w:tcW w:w="560" w:type="dxa"/>
            <w:tcBorders>
              <w:top w:val="nil"/>
              <w:left w:val="nil"/>
              <w:bottom w:val="nil"/>
              <w:right w:val="nil"/>
            </w:tcBorders>
            <w:shd w:val="clear" w:color="auto" w:fill="auto"/>
            <w:noWrap/>
            <w:vAlign w:val="bottom"/>
          </w:tcPr>
          <w:p w14:paraId="2656E01C" w14:textId="6E80EBEA"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53.0</w:t>
            </w:r>
          </w:p>
        </w:tc>
        <w:tc>
          <w:tcPr>
            <w:tcW w:w="943" w:type="dxa"/>
            <w:tcBorders>
              <w:top w:val="nil"/>
              <w:left w:val="nil"/>
              <w:bottom w:val="nil"/>
              <w:right w:val="nil"/>
            </w:tcBorders>
            <w:vAlign w:val="bottom"/>
          </w:tcPr>
          <w:p w14:paraId="6DE04B0A" w14:textId="62E7510A"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9.6</w:t>
            </w:r>
          </w:p>
        </w:tc>
        <w:tc>
          <w:tcPr>
            <w:tcW w:w="851" w:type="dxa"/>
            <w:tcBorders>
              <w:top w:val="nil"/>
              <w:left w:val="nil"/>
              <w:bottom w:val="nil"/>
              <w:right w:val="nil"/>
            </w:tcBorders>
            <w:vAlign w:val="bottom"/>
          </w:tcPr>
          <w:p w14:paraId="50ABB9AA" w14:textId="5F1CCF29"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27.6</w:t>
            </w:r>
          </w:p>
        </w:tc>
        <w:tc>
          <w:tcPr>
            <w:tcW w:w="644" w:type="dxa"/>
            <w:tcBorders>
              <w:top w:val="nil"/>
              <w:left w:val="nil"/>
              <w:bottom w:val="nil"/>
              <w:right w:val="nil"/>
            </w:tcBorders>
            <w:vAlign w:val="bottom"/>
          </w:tcPr>
          <w:p w14:paraId="66FE927C" w14:textId="6F4452A0"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1.0</w:t>
            </w:r>
          </w:p>
        </w:tc>
        <w:tc>
          <w:tcPr>
            <w:tcW w:w="1157" w:type="dxa"/>
            <w:tcBorders>
              <w:top w:val="nil"/>
              <w:left w:val="nil"/>
              <w:bottom w:val="nil"/>
              <w:right w:val="nil"/>
            </w:tcBorders>
            <w:vAlign w:val="bottom"/>
          </w:tcPr>
          <w:p w14:paraId="4F46962F" w14:textId="2B22B232"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6.1</w:t>
            </w:r>
          </w:p>
        </w:tc>
        <w:tc>
          <w:tcPr>
            <w:tcW w:w="599" w:type="dxa"/>
            <w:tcBorders>
              <w:top w:val="nil"/>
              <w:left w:val="nil"/>
              <w:bottom w:val="nil"/>
              <w:right w:val="nil"/>
            </w:tcBorders>
            <w:vAlign w:val="bottom"/>
          </w:tcPr>
          <w:p w14:paraId="61FC5B92" w14:textId="6D1AFB8F"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2.8</w:t>
            </w:r>
          </w:p>
        </w:tc>
      </w:tr>
      <w:tr w:rsidR="000F2E5E" w:rsidRPr="00017599" w14:paraId="74497F1D" w14:textId="77777777" w:rsidTr="000F2E5E">
        <w:trPr>
          <w:trHeight w:val="315"/>
          <w:jc w:val="center"/>
        </w:trPr>
        <w:tc>
          <w:tcPr>
            <w:tcW w:w="3175" w:type="dxa"/>
            <w:tcBorders>
              <w:top w:val="nil"/>
              <w:left w:val="nil"/>
              <w:bottom w:val="nil"/>
              <w:right w:val="nil"/>
            </w:tcBorders>
            <w:vAlign w:val="bottom"/>
          </w:tcPr>
          <w:p w14:paraId="42447E87" w14:textId="3D0C9851" w:rsidR="000F2E5E" w:rsidRPr="00017599" w:rsidRDefault="000F2E5E" w:rsidP="000F2E5E">
            <w:pPr>
              <w:spacing w:after="0" w:line="240" w:lineRule="auto"/>
              <w:rPr>
                <w:rFonts w:ascii="Times New Roman" w:hAnsi="Times New Roman" w:cs="Times New Roman"/>
                <w:color w:val="000000"/>
                <w:sz w:val="24"/>
                <w:szCs w:val="24"/>
              </w:rPr>
            </w:pPr>
            <w:r w:rsidRPr="00017599">
              <w:rPr>
                <w:rFonts w:ascii="Times New Roman" w:hAnsi="Times New Roman" w:cs="Times New Roman"/>
                <w:color w:val="000000"/>
                <w:sz w:val="24"/>
                <w:szCs w:val="24"/>
              </w:rPr>
              <w:t>Comercio</w:t>
            </w:r>
          </w:p>
        </w:tc>
        <w:tc>
          <w:tcPr>
            <w:tcW w:w="560" w:type="dxa"/>
            <w:tcBorders>
              <w:top w:val="nil"/>
              <w:left w:val="nil"/>
              <w:bottom w:val="nil"/>
              <w:right w:val="nil"/>
            </w:tcBorders>
            <w:shd w:val="clear" w:color="auto" w:fill="auto"/>
            <w:noWrap/>
            <w:vAlign w:val="bottom"/>
          </w:tcPr>
          <w:p w14:paraId="58B6E5BF" w14:textId="3F317D28"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60.6</w:t>
            </w:r>
          </w:p>
        </w:tc>
        <w:tc>
          <w:tcPr>
            <w:tcW w:w="943" w:type="dxa"/>
            <w:tcBorders>
              <w:top w:val="nil"/>
              <w:left w:val="nil"/>
              <w:bottom w:val="nil"/>
              <w:right w:val="nil"/>
            </w:tcBorders>
            <w:vAlign w:val="bottom"/>
          </w:tcPr>
          <w:p w14:paraId="7B98AF05" w14:textId="689B4A0F"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11.4</w:t>
            </w:r>
          </w:p>
        </w:tc>
        <w:tc>
          <w:tcPr>
            <w:tcW w:w="851" w:type="dxa"/>
            <w:tcBorders>
              <w:top w:val="nil"/>
              <w:left w:val="nil"/>
              <w:bottom w:val="nil"/>
              <w:right w:val="nil"/>
            </w:tcBorders>
            <w:vAlign w:val="bottom"/>
          </w:tcPr>
          <w:p w14:paraId="2B7F3C78" w14:textId="28751C2F"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22.8</w:t>
            </w:r>
          </w:p>
        </w:tc>
        <w:tc>
          <w:tcPr>
            <w:tcW w:w="644" w:type="dxa"/>
            <w:tcBorders>
              <w:top w:val="nil"/>
              <w:left w:val="nil"/>
              <w:bottom w:val="nil"/>
              <w:right w:val="nil"/>
            </w:tcBorders>
            <w:vAlign w:val="bottom"/>
          </w:tcPr>
          <w:p w14:paraId="4B3F7F91" w14:textId="2FC6FEC8"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1.3</w:t>
            </w:r>
          </w:p>
        </w:tc>
        <w:tc>
          <w:tcPr>
            <w:tcW w:w="1157" w:type="dxa"/>
            <w:tcBorders>
              <w:top w:val="nil"/>
              <w:left w:val="nil"/>
              <w:bottom w:val="nil"/>
              <w:right w:val="nil"/>
            </w:tcBorders>
            <w:vAlign w:val="bottom"/>
          </w:tcPr>
          <w:p w14:paraId="5E0DAB73" w14:textId="002911FB"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2.2</w:t>
            </w:r>
          </w:p>
        </w:tc>
        <w:tc>
          <w:tcPr>
            <w:tcW w:w="599" w:type="dxa"/>
            <w:tcBorders>
              <w:top w:val="nil"/>
              <w:left w:val="nil"/>
              <w:bottom w:val="nil"/>
              <w:right w:val="nil"/>
            </w:tcBorders>
            <w:vAlign w:val="bottom"/>
          </w:tcPr>
          <w:p w14:paraId="4D774972" w14:textId="42A37D0F"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1.6</w:t>
            </w:r>
          </w:p>
        </w:tc>
      </w:tr>
      <w:tr w:rsidR="000F2E5E" w:rsidRPr="00017599" w14:paraId="1B9FADA6" w14:textId="77777777" w:rsidTr="000F2E5E">
        <w:trPr>
          <w:trHeight w:val="315"/>
          <w:jc w:val="center"/>
        </w:trPr>
        <w:tc>
          <w:tcPr>
            <w:tcW w:w="3175" w:type="dxa"/>
            <w:tcBorders>
              <w:top w:val="nil"/>
              <w:left w:val="nil"/>
              <w:bottom w:val="nil"/>
              <w:right w:val="nil"/>
            </w:tcBorders>
            <w:vAlign w:val="center"/>
          </w:tcPr>
          <w:p w14:paraId="429E8088" w14:textId="4199AEF5" w:rsidR="000F2E5E" w:rsidRPr="00017599" w:rsidRDefault="000F2E5E" w:rsidP="000F2E5E">
            <w:pPr>
              <w:spacing w:after="0" w:line="240" w:lineRule="auto"/>
              <w:rPr>
                <w:rFonts w:ascii="Times New Roman" w:hAnsi="Times New Roman" w:cs="Times New Roman"/>
                <w:color w:val="000000"/>
                <w:sz w:val="24"/>
                <w:szCs w:val="24"/>
              </w:rPr>
            </w:pPr>
            <w:r w:rsidRPr="00017599">
              <w:rPr>
                <w:rFonts w:ascii="Times New Roman" w:hAnsi="Times New Roman" w:cs="Times New Roman"/>
                <w:color w:val="000000"/>
                <w:sz w:val="24"/>
                <w:szCs w:val="24"/>
              </w:rPr>
              <w:t>Otros</w:t>
            </w:r>
          </w:p>
        </w:tc>
        <w:tc>
          <w:tcPr>
            <w:tcW w:w="560" w:type="dxa"/>
            <w:tcBorders>
              <w:top w:val="nil"/>
              <w:left w:val="nil"/>
              <w:bottom w:val="nil"/>
              <w:right w:val="nil"/>
            </w:tcBorders>
            <w:shd w:val="clear" w:color="auto" w:fill="auto"/>
            <w:noWrap/>
            <w:vAlign w:val="bottom"/>
          </w:tcPr>
          <w:p w14:paraId="55B5CB21" w14:textId="15018F1B"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25.9</w:t>
            </w:r>
          </w:p>
        </w:tc>
        <w:tc>
          <w:tcPr>
            <w:tcW w:w="943" w:type="dxa"/>
            <w:tcBorders>
              <w:top w:val="nil"/>
              <w:left w:val="nil"/>
              <w:bottom w:val="nil"/>
              <w:right w:val="nil"/>
            </w:tcBorders>
            <w:vAlign w:val="bottom"/>
          </w:tcPr>
          <w:p w14:paraId="3A3E9624" w14:textId="77DBBAD3"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9.0</w:t>
            </w:r>
          </w:p>
        </w:tc>
        <w:tc>
          <w:tcPr>
            <w:tcW w:w="851" w:type="dxa"/>
            <w:tcBorders>
              <w:top w:val="nil"/>
              <w:left w:val="nil"/>
              <w:bottom w:val="nil"/>
              <w:right w:val="nil"/>
            </w:tcBorders>
            <w:vAlign w:val="bottom"/>
          </w:tcPr>
          <w:p w14:paraId="0E12C52A" w14:textId="439B1D73"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40.4</w:t>
            </w:r>
          </w:p>
        </w:tc>
        <w:tc>
          <w:tcPr>
            <w:tcW w:w="644" w:type="dxa"/>
            <w:tcBorders>
              <w:top w:val="nil"/>
              <w:left w:val="nil"/>
              <w:bottom w:val="nil"/>
              <w:right w:val="nil"/>
            </w:tcBorders>
            <w:vAlign w:val="bottom"/>
          </w:tcPr>
          <w:p w14:paraId="012286D2" w14:textId="30C594BA"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0.7</w:t>
            </w:r>
          </w:p>
        </w:tc>
        <w:tc>
          <w:tcPr>
            <w:tcW w:w="1157" w:type="dxa"/>
            <w:tcBorders>
              <w:top w:val="nil"/>
              <w:left w:val="nil"/>
              <w:bottom w:val="nil"/>
              <w:right w:val="nil"/>
            </w:tcBorders>
            <w:vAlign w:val="bottom"/>
          </w:tcPr>
          <w:p w14:paraId="249AE05C" w14:textId="26E77625"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3.5</w:t>
            </w:r>
          </w:p>
        </w:tc>
        <w:tc>
          <w:tcPr>
            <w:tcW w:w="599" w:type="dxa"/>
            <w:tcBorders>
              <w:top w:val="nil"/>
              <w:left w:val="nil"/>
              <w:bottom w:val="nil"/>
              <w:right w:val="nil"/>
            </w:tcBorders>
            <w:vAlign w:val="bottom"/>
          </w:tcPr>
          <w:p w14:paraId="649DFA7E" w14:textId="18AC235D" w:rsidR="000F2E5E" w:rsidRPr="00017599" w:rsidRDefault="000F2E5E" w:rsidP="000F2E5E">
            <w:pPr>
              <w:spacing w:after="0" w:line="240" w:lineRule="auto"/>
              <w:jc w:val="center"/>
              <w:rPr>
                <w:rFonts w:ascii="Times New Roman" w:hAnsi="Times New Roman" w:cs="Times New Roman"/>
                <w:color w:val="000000"/>
                <w:sz w:val="24"/>
                <w:szCs w:val="24"/>
              </w:rPr>
            </w:pPr>
            <w:r w:rsidRPr="00017599">
              <w:rPr>
                <w:rFonts w:ascii="Times New Roman" w:hAnsi="Times New Roman" w:cs="Times New Roman"/>
                <w:color w:val="000000"/>
                <w:sz w:val="24"/>
                <w:szCs w:val="24"/>
              </w:rPr>
              <w:t>20.5</w:t>
            </w:r>
          </w:p>
        </w:tc>
      </w:tr>
      <w:tr w:rsidR="000F2E5E" w:rsidRPr="00017599" w14:paraId="1F2DFD2A" w14:textId="77777777" w:rsidTr="000F2E5E">
        <w:trPr>
          <w:trHeight w:val="315"/>
          <w:jc w:val="center"/>
        </w:trPr>
        <w:tc>
          <w:tcPr>
            <w:tcW w:w="3175" w:type="dxa"/>
            <w:tcBorders>
              <w:top w:val="nil"/>
              <w:left w:val="nil"/>
              <w:bottom w:val="single" w:sz="4" w:space="0" w:color="auto"/>
              <w:right w:val="nil"/>
            </w:tcBorders>
          </w:tcPr>
          <w:p w14:paraId="31CC1FC5" w14:textId="77777777" w:rsidR="000F2E5E" w:rsidRPr="00017599" w:rsidRDefault="000F2E5E" w:rsidP="000F2E5E">
            <w:pPr>
              <w:spacing w:after="0" w:line="240" w:lineRule="auto"/>
              <w:rPr>
                <w:rFonts w:ascii="Times New Roman" w:eastAsia="Times New Roman" w:hAnsi="Times New Roman" w:cs="Times New Roman"/>
                <w:color w:val="000000"/>
                <w:sz w:val="24"/>
                <w:szCs w:val="24"/>
                <w:lang w:val="es-CL" w:eastAsia="es-CL"/>
              </w:rPr>
            </w:pPr>
          </w:p>
        </w:tc>
        <w:tc>
          <w:tcPr>
            <w:tcW w:w="560" w:type="dxa"/>
            <w:tcBorders>
              <w:top w:val="nil"/>
              <w:left w:val="nil"/>
              <w:bottom w:val="single" w:sz="4" w:space="0" w:color="auto"/>
              <w:right w:val="nil"/>
            </w:tcBorders>
            <w:shd w:val="clear" w:color="auto" w:fill="auto"/>
            <w:noWrap/>
            <w:vAlign w:val="center"/>
          </w:tcPr>
          <w:p w14:paraId="7EEBA314"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c>
          <w:tcPr>
            <w:tcW w:w="943" w:type="dxa"/>
            <w:tcBorders>
              <w:top w:val="nil"/>
              <w:left w:val="nil"/>
              <w:bottom w:val="single" w:sz="4" w:space="0" w:color="auto"/>
              <w:right w:val="nil"/>
            </w:tcBorders>
          </w:tcPr>
          <w:p w14:paraId="30DC204A"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c>
          <w:tcPr>
            <w:tcW w:w="851" w:type="dxa"/>
            <w:tcBorders>
              <w:top w:val="nil"/>
              <w:left w:val="nil"/>
              <w:bottom w:val="single" w:sz="4" w:space="0" w:color="auto"/>
              <w:right w:val="nil"/>
            </w:tcBorders>
          </w:tcPr>
          <w:p w14:paraId="07CF91A0"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c>
          <w:tcPr>
            <w:tcW w:w="644" w:type="dxa"/>
            <w:tcBorders>
              <w:top w:val="nil"/>
              <w:left w:val="nil"/>
              <w:bottom w:val="single" w:sz="4" w:space="0" w:color="auto"/>
              <w:right w:val="nil"/>
            </w:tcBorders>
          </w:tcPr>
          <w:p w14:paraId="41125954"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c>
          <w:tcPr>
            <w:tcW w:w="1157" w:type="dxa"/>
            <w:tcBorders>
              <w:top w:val="nil"/>
              <w:left w:val="nil"/>
              <w:bottom w:val="single" w:sz="4" w:space="0" w:color="auto"/>
              <w:right w:val="nil"/>
            </w:tcBorders>
          </w:tcPr>
          <w:p w14:paraId="77F9B9D0"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c>
          <w:tcPr>
            <w:tcW w:w="599" w:type="dxa"/>
            <w:tcBorders>
              <w:top w:val="nil"/>
              <w:left w:val="nil"/>
              <w:bottom w:val="single" w:sz="4" w:space="0" w:color="auto"/>
              <w:right w:val="nil"/>
            </w:tcBorders>
          </w:tcPr>
          <w:p w14:paraId="425A59A6" w14:textId="77777777" w:rsidR="000F2E5E" w:rsidRPr="00017599" w:rsidRDefault="000F2E5E" w:rsidP="000F2E5E">
            <w:pPr>
              <w:spacing w:after="0" w:line="240" w:lineRule="auto"/>
              <w:jc w:val="center"/>
              <w:rPr>
                <w:rFonts w:ascii="Times New Roman" w:eastAsia="Times New Roman" w:hAnsi="Times New Roman" w:cs="Times New Roman"/>
                <w:color w:val="000000"/>
                <w:sz w:val="24"/>
                <w:szCs w:val="24"/>
                <w:lang w:val="es-CL" w:eastAsia="es-CL"/>
              </w:rPr>
            </w:pPr>
          </w:p>
        </w:tc>
      </w:tr>
    </w:tbl>
    <w:p w14:paraId="4FEF4BC8" w14:textId="4AABA89B" w:rsidR="002F443F" w:rsidRDefault="002F443F" w:rsidP="00E51039">
      <w:pPr>
        <w:jc w:val="both"/>
        <w:rPr>
          <w:rFonts w:ascii="Times New Roman" w:eastAsiaTheme="minorEastAsia" w:hAnsi="Times New Roman" w:cs="Times New Roman"/>
          <w:sz w:val="24"/>
          <w:szCs w:val="24"/>
        </w:rPr>
      </w:pPr>
    </w:p>
    <w:p w14:paraId="36700DB0" w14:textId="7163372D" w:rsidR="005C0F1F" w:rsidRPr="00357B6F" w:rsidRDefault="00812B99" w:rsidP="00E51039">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Los resultados del B-</w:t>
      </w:r>
      <w:proofErr w:type="spellStart"/>
      <w:r>
        <w:rPr>
          <w:rFonts w:ascii="Times New Roman" w:eastAsiaTheme="minorEastAsia" w:hAnsi="Times New Roman" w:cs="Times New Roman"/>
          <w:sz w:val="24"/>
          <w:szCs w:val="24"/>
        </w:rPr>
        <w:t>Index</w:t>
      </w:r>
      <w:proofErr w:type="spellEnd"/>
      <w:r>
        <w:rPr>
          <w:rFonts w:ascii="Times New Roman" w:eastAsiaTheme="minorEastAsia" w:hAnsi="Times New Roman" w:cs="Times New Roman"/>
          <w:sz w:val="24"/>
          <w:szCs w:val="24"/>
        </w:rPr>
        <w:t xml:space="preserve"> según tamaño y sector económico son presentados en los Cuadros 3.6 y 3.7 respectivamente, mostrando que no existe diferencia significativa ni en por tamaño de empresas ni por sector económico, es decir, “la generosidad” del incentivo permanece invariable por tamaño de empresa y sector económico.</w:t>
      </w:r>
    </w:p>
    <w:p w14:paraId="0771B61B" w14:textId="77C0E8C7" w:rsidR="00017599" w:rsidRDefault="005C0F1F" w:rsidP="00017599">
      <w:pPr>
        <w:jc w:val="center"/>
        <w:rPr>
          <w:rFonts w:ascii="Times New Roman" w:eastAsiaTheme="minorEastAsia" w:hAnsi="Times New Roman" w:cs="Times New Roman"/>
          <w:sz w:val="24"/>
          <w:szCs w:val="24"/>
          <w:u w:val="single"/>
          <w:lang w:val="es-CL"/>
        </w:rPr>
      </w:pPr>
      <w:r>
        <w:rPr>
          <w:rFonts w:ascii="Times New Roman" w:eastAsiaTheme="minorEastAsia" w:hAnsi="Times New Roman" w:cs="Times New Roman"/>
          <w:sz w:val="24"/>
          <w:szCs w:val="24"/>
          <w:u w:val="single"/>
          <w:lang w:val="es-CL"/>
        </w:rPr>
        <w:t>Cuadro 3</w:t>
      </w:r>
      <w:r w:rsidR="00017599">
        <w:rPr>
          <w:rFonts w:ascii="Times New Roman" w:eastAsiaTheme="minorEastAsia" w:hAnsi="Times New Roman" w:cs="Times New Roman"/>
          <w:sz w:val="24"/>
          <w:szCs w:val="24"/>
          <w:u w:val="single"/>
          <w:lang w:val="es-CL"/>
        </w:rPr>
        <w:t>.6: B-</w:t>
      </w:r>
      <w:proofErr w:type="spellStart"/>
      <w:r w:rsidR="00017599">
        <w:rPr>
          <w:rFonts w:ascii="Times New Roman" w:eastAsiaTheme="minorEastAsia" w:hAnsi="Times New Roman" w:cs="Times New Roman"/>
          <w:sz w:val="24"/>
          <w:szCs w:val="24"/>
          <w:u w:val="single"/>
          <w:lang w:val="es-CL"/>
        </w:rPr>
        <w:t>Index</w:t>
      </w:r>
      <w:proofErr w:type="spellEnd"/>
      <w:r w:rsidR="00017599" w:rsidRPr="006D7B29">
        <w:rPr>
          <w:rFonts w:ascii="Times New Roman" w:eastAsiaTheme="minorEastAsia" w:hAnsi="Times New Roman" w:cs="Times New Roman"/>
          <w:sz w:val="24"/>
          <w:szCs w:val="24"/>
          <w:u w:val="single"/>
          <w:lang w:val="es-CL"/>
        </w:rPr>
        <w:t xml:space="preserve"> según tamaño </w:t>
      </w:r>
    </w:p>
    <w:tbl>
      <w:tblPr>
        <w:tblW w:w="4086" w:type="dxa"/>
        <w:jc w:val="center"/>
        <w:tblCellMar>
          <w:left w:w="70" w:type="dxa"/>
          <w:right w:w="70" w:type="dxa"/>
        </w:tblCellMar>
        <w:tblLook w:val="04A0" w:firstRow="1" w:lastRow="0" w:firstColumn="1" w:lastColumn="0" w:noHBand="0" w:noVBand="1"/>
      </w:tblPr>
      <w:tblGrid>
        <w:gridCol w:w="1268"/>
        <w:gridCol w:w="1605"/>
        <w:gridCol w:w="1213"/>
      </w:tblGrid>
      <w:tr w:rsidR="0069565B" w:rsidRPr="006A0175" w14:paraId="69AB751F" w14:textId="77777777" w:rsidTr="00F245C4">
        <w:trPr>
          <w:trHeight w:val="277"/>
          <w:jc w:val="center"/>
        </w:trPr>
        <w:tc>
          <w:tcPr>
            <w:tcW w:w="1268" w:type="dxa"/>
            <w:tcBorders>
              <w:top w:val="single" w:sz="4" w:space="0" w:color="auto"/>
              <w:left w:val="nil"/>
              <w:bottom w:val="double" w:sz="6" w:space="0" w:color="auto"/>
              <w:right w:val="nil"/>
            </w:tcBorders>
          </w:tcPr>
          <w:p w14:paraId="48953BAB" w14:textId="77777777" w:rsidR="0069565B" w:rsidRPr="006A0175" w:rsidRDefault="0069565B" w:rsidP="001228C8">
            <w:pPr>
              <w:spacing w:after="0" w:line="240" w:lineRule="auto"/>
              <w:jc w:val="center"/>
              <w:rPr>
                <w:rFonts w:ascii="Times New Roman" w:eastAsia="Times New Roman" w:hAnsi="Times New Roman" w:cs="Times New Roman"/>
                <w:color w:val="000000"/>
                <w:sz w:val="24"/>
                <w:szCs w:val="24"/>
                <w:lang w:val="es-CL" w:eastAsia="es-CL"/>
              </w:rPr>
            </w:pPr>
          </w:p>
        </w:tc>
        <w:tc>
          <w:tcPr>
            <w:tcW w:w="1605" w:type="dxa"/>
            <w:tcBorders>
              <w:top w:val="single" w:sz="4" w:space="0" w:color="auto"/>
              <w:left w:val="nil"/>
              <w:bottom w:val="double" w:sz="6" w:space="0" w:color="auto"/>
              <w:right w:val="nil"/>
            </w:tcBorders>
            <w:shd w:val="clear" w:color="auto" w:fill="auto"/>
            <w:vAlign w:val="center"/>
            <w:hideMark/>
          </w:tcPr>
          <w:p w14:paraId="201EDBED" w14:textId="3DEB625F" w:rsidR="0069565B" w:rsidRPr="006A0175" w:rsidRDefault="0069565B" w:rsidP="0069565B">
            <w:pPr>
              <w:spacing w:after="0" w:line="240" w:lineRule="auto"/>
              <w:jc w:val="center"/>
              <w:rPr>
                <w:rFonts w:ascii="Times New Roman" w:eastAsia="Times New Roman" w:hAnsi="Times New Roman" w:cs="Times New Roman"/>
                <w:color w:val="000000"/>
                <w:sz w:val="24"/>
                <w:szCs w:val="24"/>
                <w:lang w:val="es-CL" w:eastAsia="es-CL"/>
              </w:rPr>
            </w:pPr>
            <w:r w:rsidRPr="006A0175">
              <w:rPr>
                <w:rFonts w:ascii="Times New Roman" w:eastAsia="Times New Roman" w:hAnsi="Times New Roman" w:cs="Times New Roman"/>
                <w:color w:val="000000"/>
                <w:sz w:val="24"/>
                <w:szCs w:val="24"/>
                <w:lang w:val="es-CL" w:eastAsia="es-CL"/>
              </w:rPr>
              <w:t xml:space="preserve"> </w:t>
            </w:r>
            <w:r>
              <w:rPr>
                <w:rFonts w:ascii="Times New Roman" w:eastAsia="Times New Roman" w:hAnsi="Times New Roman" w:cs="Times New Roman"/>
                <w:color w:val="000000"/>
                <w:sz w:val="24"/>
                <w:szCs w:val="24"/>
                <w:lang w:val="es-CL" w:eastAsia="es-CL"/>
              </w:rPr>
              <w:t xml:space="preserve">Grandes </w:t>
            </w:r>
          </w:p>
        </w:tc>
        <w:tc>
          <w:tcPr>
            <w:tcW w:w="1213" w:type="dxa"/>
            <w:tcBorders>
              <w:top w:val="single" w:sz="4" w:space="0" w:color="auto"/>
              <w:left w:val="nil"/>
              <w:bottom w:val="double" w:sz="6" w:space="0" w:color="auto"/>
              <w:right w:val="nil"/>
            </w:tcBorders>
          </w:tcPr>
          <w:p w14:paraId="5AE7CD8A" w14:textId="0A8CDD54" w:rsidR="0069565B" w:rsidRPr="006A0175" w:rsidRDefault="0069565B" w:rsidP="001228C8">
            <w:pPr>
              <w:spacing w:after="0" w:line="240" w:lineRule="auto"/>
              <w:jc w:val="center"/>
              <w:rPr>
                <w:rFonts w:ascii="Times New Roman" w:eastAsia="Times New Roman" w:hAnsi="Times New Roman" w:cs="Times New Roman"/>
                <w:color w:val="000000"/>
                <w:sz w:val="24"/>
                <w:szCs w:val="24"/>
                <w:lang w:val="es-CL" w:eastAsia="es-CL"/>
              </w:rPr>
            </w:pPr>
            <w:r>
              <w:rPr>
                <w:rFonts w:ascii="Times New Roman" w:eastAsia="Times New Roman" w:hAnsi="Times New Roman" w:cs="Times New Roman"/>
                <w:color w:val="000000"/>
                <w:sz w:val="24"/>
                <w:szCs w:val="24"/>
                <w:lang w:val="es-CL" w:eastAsia="es-CL"/>
              </w:rPr>
              <w:t>Pymes</w:t>
            </w:r>
          </w:p>
        </w:tc>
      </w:tr>
      <w:tr w:rsidR="0069565B" w:rsidRPr="006A0175" w14:paraId="6E6CA64F" w14:textId="77777777" w:rsidTr="00F245C4">
        <w:trPr>
          <w:trHeight w:val="250"/>
          <w:jc w:val="center"/>
        </w:trPr>
        <w:tc>
          <w:tcPr>
            <w:tcW w:w="1268" w:type="dxa"/>
            <w:tcBorders>
              <w:top w:val="nil"/>
              <w:left w:val="nil"/>
              <w:bottom w:val="nil"/>
              <w:right w:val="nil"/>
            </w:tcBorders>
          </w:tcPr>
          <w:p w14:paraId="71B91753" w14:textId="77777777" w:rsidR="0069565B" w:rsidRDefault="0069565B" w:rsidP="001228C8">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B-</w:t>
            </w:r>
            <w:proofErr w:type="spellStart"/>
            <w:r>
              <w:rPr>
                <w:rFonts w:ascii="Times New Roman" w:eastAsia="Times New Roman" w:hAnsi="Times New Roman" w:cs="Times New Roman"/>
                <w:sz w:val="24"/>
                <w:szCs w:val="24"/>
                <w:lang w:val="es-CL" w:eastAsia="es-CL"/>
              </w:rPr>
              <w:t>Index</w:t>
            </w:r>
            <w:proofErr w:type="spellEnd"/>
          </w:p>
        </w:tc>
        <w:tc>
          <w:tcPr>
            <w:tcW w:w="1605" w:type="dxa"/>
            <w:tcBorders>
              <w:top w:val="nil"/>
              <w:left w:val="nil"/>
              <w:bottom w:val="nil"/>
              <w:right w:val="nil"/>
            </w:tcBorders>
            <w:shd w:val="clear" w:color="auto" w:fill="auto"/>
            <w:noWrap/>
            <w:vAlign w:val="center"/>
            <w:hideMark/>
          </w:tcPr>
          <w:p w14:paraId="64C0CF06" w14:textId="412AA74C" w:rsidR="0069565B" w:rsidRPr="006A0175" w:rsidRDefault="0069565B" w:rsidP="001228C8">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0,645</w:t>
            </w:r>
          </w:p>
        </w:tc>
        <w:tc>
          <w:tcPr>
            <w:tcW w:w="1213" w:type="dxa"/>
            <w:tcBorders>
              <w:top w:val="nil"/>
              <w:left w:val="nil"/>
              <w:bottom w:val="nil"/>
              <w:right w:val="nil"/>
            </w:tcBorders>
          </w:tcPr>
          <w:p w14:paraId="53D30D65" w14:textId="1C6B416F" w:rsidR="0069565B" w:rsidRDefault="0069565B" w:rsidP="001228C8">
            <w:pPr>
              <w:spacing w:after="0" w:line="240" w:lineRule="auto"/>
              <w:jc w:val="center"/>
              <w:rPr>
                <w:rFonts w:ascii="Times New Roman" w:eastAsia="Times New Roman" w:hAnsi="Times New Roman" w:cs="Times New Roman"/>
                <w:sz w:val="24"/>
                <w:szCs w:val="24"/>
                <w:lang w:val="es-CL" w:eastAsia="es-CL"/>
              </w:rPr>
            </w:pPr>
            <w:r>
              <w:rPr>
                <w:rFonts w:ascii="Times New Roman" w:eastAsia="Times New Roman" w:hAnsi="Times New Roman" w:cs="Times New Roman"/>
                <w:sz w:val="24"/>
                <w:szCs w:val="24"/>
                <w:lang w:val="es-CL" w:eastAsia="es-CL"/>
              </w:rPr>
              <w:t>0,648</w:t>
            </w:r>
          </w:p>
        </w:tc>
      </w:tr>
      <w:tr w:rsidR="0069565B" w:rsidRPr="006A0175" w14:paraId="584A6CBF" w14:textId="77777777" w:rsidTr="00F245C4">
        <w:trPr>
          <w:trHeight w:val="239"/>
          <w:jc w:val="center"/>
        </w:trPr>
        <w:tc>
          <w:tcPr>
            <w:tcW w:w="1268" w:type="dxa"/>
            <w:tcBorders>
              <w:top w:val="nil"/>
              <w:left w:val="nil"/>
              <w:bottom w:val="single" w:sz="4" w:space="0" w:color="auto"/>
              <w:right w:val="nil"/>
            </w:tcBorders>
          </w:tcPr>
          <w:p w14:paraId="59352A12" w14:textId="77777777" w:rsidR="0069565B" w:rsidRDefault="0069565B" w:rsidP="001228C8">
            <w:pPr>
              <w:spacing w:after="0" w:line="240" w:lineRule="auto"/>
              <w:jc w:val="center"/>
              <w:rPr>
                <w:rFonts w:ascii="Times New Roman" w:eastAsia="Times New Roman" w:hAnsi="Times New Roman" w:cs="Times New Roman"/>
                <w:color w:val="000000"/>
                <w:sz w:val="24"/>
                <w:szCs w:val="24"/>
                <w:lang w:val="es-CL" w:eastAsia="es-CL"/>
              </w:rPr>
            </w:pPr>
          </w:p>
        </w:tc>
        <w:tc>
          <w:tcPr>
            <w:tcW w:w="1605" w:type="dxa"/>
            <w:tcBorders>
              <w:top w:val="nil"/>
              <w:left w:val="nil"/>
              <w:bottom w:val="single" w:sz="4" w:space="0" w:color="auto"/>
              <w:right w:val="nil"/>
            </w:tcBorders>
            <w:shd w:val="clear" w:color="auto" w:fill="auto"/>
            <w:noWrap/>
            <w:vAlign w:val="center"/>
          </w:tcPr>
          <w:p w14:paraId="679BDAAA" w14:textId="77777777" w:rsidR="0069565B" w:rsidRPr="006A0175" w:rsidRDefault="0069565B" w:rsidP="001228C8">
            <w:pPr>
              <w:spacing w:after="0" w:line="240" w:lineRule="auto"/>
              <w:jc w:val="center"/>
              <w:rPr>
                <w:rFonts w:ascii="Times New Roman" w:eastAsia="Times New Roman" w:hAnsi="Times New Roman" w:cs="Times New Roman"/>
                <w:color w:val="000000"/>
                <w:sz w:val="24"/>
                <w:szCs w:val="24"/>
                <w:lang w:val="es-CL" w:eastAsia="es-CL"/>
              </w:rPr>
            </w:pPr>
          </w:p>
        </w:tc>
        <w:tc>
          <w:tcPr>
            <w:tcW w:w="1213" w:type="dxa"/>
            <w:tcBorders>
              <w:top w:val="nil"/>
              <w:left w:val="nil"/>
              <w:bottom w:val="single" w:sz="4" w:space="0" w:color="auto"/>
              <w:right w:val="nil"/>
            </w:tcBorders>
          </w:tcPr>
          <w:p w14:paraId="61209BB3" w14:textId="77777777" w:rsidR="0069565B" w:rsidRDefault="0069565B" w:rsidP="001228C8">
            <w:pPr>
              <w:spacing w:after="0" w:line="240" w:lineRule="auto"/>
              <w:jc w:val="center"/>
              <w:rPr>
                <w:rFonts w:ascii="Times New Roman" w:eastAsia="Times New Roman" w:hAnsi="Times New Roman" w:cs="Times New Roman"/>
                <w:color w:val="000000"/>
                <w:sz w:val="24"/>
                <w:szCs w:val="24"/>
                <w:lang w:val="es-CL" w:eastAsia="es-CL"/>
              </w:rPr>
            </w:pPr>
          </w:p>
        </w:tc>
      </w:tr>
    </w:tbl>
    <w:p w14:paraId="5BD9C83C" w14:textId="4CE39690" w:rsidR="00017599" w:rsidRDefault="00017599" w:rsidP="00017599">
      <w:pPr>
        <w:jc w:val="center"/>
        <w:rPr>
          <w:rFonts w:ascii="Times New Roman" w:eastAsiaTheme="minorEastAsia" w:hAnsi="Times New Roman" w:cs="Times New Roman"/>
          <w:sz w:val="24"/>
          <w:szCs w:val="24"/>
          <w:u w:val="single"/>
          <w:lang w:val="es-CL"/>
        </w:rPr>
      </w:pPr>
    </w:p>
    <w:p w14:paraId="6376AD65" w14:textId="35324D1B" w:rsidR="00017599" w:rsidRPr="006D7B29" w:rsidRDefault="005C0F1F" w:rsidP="00017599">
      <w:pPr>
        <w:jc w:val="center"/>
        <w:rPr>
          <w:rFonts w:ascii="Times New Roman" w:eastAsiaTheme="minorEastAsia" w:hAnsi="Times New Roman" w:cs="Times New Roman"/>
          <w:sz w:val="24"/>
          <w:szCs w:val="24"/>
          <w:u w:val="single"/>
          <w:lang w:val="es-CL"/>
        </w:rPr>
      </w:pPr>
      <w:r>
        <w:rPr>
          <w:rFonts w:ascii="Times New Roman" w:eastAsiaTheme="minorEastAsia" w:hAnsi="Times New Roman" w:cs="Times New Roman"/>
          <w:sz w:val="24"/>
          <w:szCs w:val="24"/>
          <w:u w:val="single"/>
          <w:lang w:val="es-CL"/>
        </w:rPr>
        <w:t>Cuadro 3</w:t>
      </w:r>
      <w:r w:rsidR="00017599">
        <w:rPr>
          <w:rFonts w:ascii="Times New Roman" w:eastAsiaTheme="minorEastAsia" w:hAnsi="Times New Roman" w:cs="Times New Roman"/>
          <w:sz w:val="24"/>
          <w:szCs w:val="24"/>
          <w:u w:val="single"/>
          <w:lang w:val="es-CL"/>
        </w:rPr>
        <w:t>.7: B-</w:t>
      </w:r>
      <w:proofErr w:type="spellStart"/>
      <w:r w:rsidR="00017599">
        <w:rPr>
          <w:rFonts w:ascii="Times New Roman" w:eastAsiaTheme="minorEastAsia" w:hAnsi="Times New Roman" w:cs="Times New Roman"/>
          <w:sz w:val="24"/>
          <w:szCs w:val="24"/>
          <w:u w:val="single"/>
          <w:lang w:val="es-CL"/>
        </w:rPr>
        <w:t>Index</w:t>
      </w:r>
      <w:proofErr w:type="spellEnd"/>
      <w:r w:rsidR="00017599" w:rsidRPr="006D7B29">
        <w:rPr>
          <w:rFonts w:ascii="Times New Roman" w:eastAsiaTheme="minorEastAsia" w:hAnsi="Times New Roman" w:cs="Times New Roman"/>
          <w:sz w:val="24"/>
          <w:szCs w:val="24"/>
          <w:u w:val="single"/>
          <w:lang w:val="es-CL"/>
        </w:rPr>
        <w:t xml:space="preserve"> según </w:t>
      </w:r>
      <w:r w:rsidR="00017599">
        <w:rPr>
          <w:rFonts w:ascii="Times New Roman" w:eastAsiaTheme="minorEastAsia" w:hAnsi="Times New Roman" w:cs="Times New Roman"/>
          <w:sz w:val="24"/>
          <w:szCs w:val="24"/>
          <w:u w:val="single"/>
          <w:lang w:val="es-CL"/>
        </w:rPr>
        <w:t>sector económico</w:t>
      </w:r>
    </w:p>
    <w:tbl>
      <w:tblPr>
        <w:tblW w:w="9923" w:type="dxa"/>
        <w:jc w:val="center"/>
        <w:tblLayout w:type="fixed"/>
        <w:tblCellMar>
          <w:left w:w="70" w:type="dxa"/>
          <w:right w:w="70" w:type="dxa"/>
        </w:tblCellMar>
        <w:tblLook w:val="04A0" w:firstRow="1" w:lastRow="0" w:firstColumn="1" w:lastColumn="0" w:noHBand="0" w:noVBand="1"/>
      </w:tblPr>
      <w:tblGrid>
        <w:gridCol w:w="917"/>
        <w:gridCol w:w="784"/>
        <w:gridCol w:w="1701"/>
        <w:gridCol w:w="709"/>
        <w:gridCol w:w="851"/>
        <w:gridCol w:w="708"/>
        <w:gridCol w:w="1276"/>
        <w:gridCol w:w="709"/>
        <w:gridCol w:w="567"/>
        <w:gridCol w:w="142"/>
        <w:gridCol w:w="850"/>
        <w:gridCol w:w="709"/>
      </w:tblGrid>
      <w:tr w:rsidR="0069565B" w:rsidRPr="0069565B" w14:paraId="16167200" w14:textId="48B46557" w:rsidTr="0069565B">
        <w:trPr>
          <w:trHeight w:val="247"/>
          <w:jc w:val="center"/>
        </w:trPr>
        <w:tc>
          <w:tcPr>
            <w:tcW w:w="917" w:type="dxa"/>
            <w:tcBorders>
              <w:top w:val="single" w:sz="4" w:space="0" w:color="auto"/>
              <w:left w:val="nil"/>
              <w:bottom w:val="double" w:sz="6" w:space="0" w:color="auto"/>
              <w:right w:val="nil"/>
            </w:tcBorders>
          </w:tcPr>
          <w:p w14:paraId="1570E791" w14:textId="77777777" w:rsidR="0069565B" w:rsidRPr="0069565B" w:rsidRDefault="0069565B" w:rsidP="0069565B">
            <w:pPr>
              <w:spacing w:after="0" w:line="240" w:lineRule="auto"/>
              <w:jc w:val="center"/>
              <w:rPr>
                <w:rFonts w:ascii="Times New Roman" w:eastAsia="Times New Roman" w:hAnsi="Times New Roman" w:cs="Times New Roman"/>
                <w:color w:val="000000"/>
                <w:sz w:val="20"/>
                <w:szCs w:val="20"/>
                <w:lang w:val="es-CL" w:eastAsia="es-CL"/>
              </w:rPr>
            </w:pPr>
          </w:p>
        </w:tc>
        <w:tc>
          <w:tcPr>
            <w:tcW w:w="784" w:type="dxa"/>
            <w:tcBorders>
              <w:top w:val="single" w:sz="4" w:space="0" w:color="auto"/>
              <w:left w:val="nil"/>
              <w:bottom w:val="double" w:sz="6" w:space="0" w:color="auto"/>
              <w:right w:val="nil"/>
            </w:tcBorders>
            <w:shd w:val="clear" w:color="auto" w:fill="auto"/>
            <w:vAlign w:val="center"/>
            <w:hideMark/>
          </w:tcPr>
          <w:p w14:paraId="27705B8D" w14:textId="0DDEE757" w:rsidR="0069565B" w:rsidRPr="0069565B" w:rsidRDefault="0069565B" w:rsidP="0069565B">
            <w:pPr>
              <w:spacing w:after="0" w:line="240" w:lineRule="auto"/>
              <w:jc w:val="center"/>
              <w:rPr>
                <w:rFonts w:ascii="Times New Roman" w:eastAsia="Times New Roman" w:hAnsi="Times New Roman" w:cs="Times New Roman"/>
                <w:color w:val="000000"/>
                <w:sz w:val="20"/>
                <w:szCs w:val="20"/>
                <w:lang w:val="es-CL" w:eastAsia="es-CL"/>
              </w:rPr>
            </w:pPr>
            <w:r w:rsidRPr="0069565B">
              <w:rPr>
                <w:rFonts w:ascii="Times New Roman" w:hAnsi="Times New Roman" w:cs="Times New Roman"/>
                <w:color w:val="000000"/>
                <w:sz w:val="20"/>
                <w:szCs w:val="20"/>
                <w:lang w:val="es-CL"/>
              </w:rPr>
              <w:t>Minería</w:t>
            </w:r>
          </w:p>
        </w:tc>
        <w:tc>
          <w:tcPr>
            <w:tcW w:w="1701" w:type="dxa"/>
            <w:tcBorders>
              <w:top w:val="single" w:sz="4" w:space="0" w:color="auto"/>
              <w:left w:val="nil"/>
              <w:bottom w:val="double" w:sz="6" w:space="0" w:color="auto"/>
              <w:right w:val="nil"/>
            </w:tcBorders>
            <w:vAlign w:val="center"/>
          </w:tcPr>
          <w:p w14:paraId="1C74FAB4" w14:textId="0BDC6E21" w:rsidR="0069565B" w:rsidRPr="0069565B" w:rsidRDefault="001528EB" w:rsidP="0069565B">
            <w:pPr>
              <w:spacing w:after="0" w:line="240" w:lineRule="auto"/>
              <w:jc w:val="center"/>
              <w:rPr>
                <w:rFonts w:ascii="Times New Roman" w:eastAsia="Times New Roman" w:hAnsi="Times New Roman" w:cs="Times New Roman"/>
                <w:color w:val="000000"/>
                <w:sz w:val="20"/>
                <w:szCs w:val="20"/>
                <w:lang w:val="es-CL" w:eastAsia="es-CL"/>
              </w:rPr>
            </w:pPr>
            <w:r>
              <w:rPr>
                <w:rFonts w:ascii="Times New Roman" w:hAnsi="Times New Roman" w:cs="Times New Roman"/>
                <w:color w:val="000000"/>
                <w:sz w:val="20"/>
                <w:szCs w:val="20"/>
                <w:lang w:val="es-CL"/>
              </w:rPr>
              <w:t>Agricultura, ganadería y pesca</w:t>
            </w:r>
          </w:p>
        </w:tc>
        <w:tc>
          <w:tcPr>
            <w:tcW w:w="709" w:type="dxa"/>
            <w:tcBorders>
              <w:top w:val="single" w:sz="4" w:space="0" w:color="auto"/>
              <w:left w:val="nil"/>
              <w:bottom w:val="double" w:sz="6" w:space="0" w:color="auto"/>
              <w:right w:val="nil"/>
            </w:tcBorders>
            <w:vAlign w:val="center"/>
          </w:tcPr>
          <w:p w14:paraId="4EC293FF" w14:textId="7DFD004D" w:rsidR="0069565B" w:rsidRPr="0069565B" w:rsidRDefault="0069565B" w:rsidP="0069565B">
            <w:pPr>
              <w:spacing w:after="0" w:line="240" w:lineRule="auto"/>
              <w:jc w:val="center"/>
              <w:rPr>
                <w:rFonts w:ascii="Times New Roman" w:eastAsia="Times New Roman" w:hAnsi="Times New Roman" w:cs="Times New Roman"/>
                <w:sz w:val="20"/>
                <w:szCs w:val="20"/>
              </w:rPr>
            </w:pPr>
            <w:r w:rsidRPr="0069565B">
              <w:rPr>
                <w:rFonts w:ascii="Times New Roman" w:hAnsi="Times New Roman" w:cs="Times New Roman"/>
                <w:color w:val="000000"/>
                <w:sz w:val="20"/>
                <w:szCs w:val="20"/>
              </w:rPr>
              <w:t>Salud</w:t>
            </w:r>
          </w:p>
        </w:tc>
        <w:tc>
          <w:tcPr>
            <w:tcW w:w="851" w:type="dxa"/>
            <w:tcBorders>
              <w:top w:val="single" w:sz="4" w:space="0" w:color="auto"/>
              <w:left w:val="nil"/>
              <w:bottom w:val="double" w:sz="6" w:space="0" w:color="auto"/>
              <w:right w:val="nil"/>
            </w:tcBorders>
            <w:vAlign w:val="center"/>
          </w:tcPr>
          <w:p w14:paraId="19B477DA" w14:textId="4D46C4D9" w:rsidR="0069565B" w:rsidRPr="0069565B" w:rsidRDefault="0069565B" w:rsidP="0069565B">
            <w:pPr>
              <w:spacing w:after="0" w:line="240" w:lineRule="auto"/>
              <w:jc w:val="center"/>
              <w:rPr>
                <w:rFonts w:ascii="Times New Roman" w:eastAsia="Times New Roman" w:hAnsi="Times New Roman" w:cs="Times New Roman"/>
                <w:sz w:val="20"/>
                <w:szCs w:val="20"/>
              </w:rPr>
            </w:pPr>
            <w:r w:rsidRPr="0069565B">
              <w:rPr>
                <w:rFonts w:ascii="Times New Roman" w:hAnsi="Times New Roman" w:cs="Times New Roman"/>
                <w:color w:val="000000"/>
                <w:sz w:val="20"/>
                <w:szCs w:val="20"/>
              </w:rPr>
              <w:t>Energía</w:t>
            </w:r>
          </w:p>
        </w:tc>
        <w:tc>
          <w:tcPr>
            <w:tcW w:w="708" w:type="dxa"/>
            <w:tcBorders>
              <w:top w:val="single" w:sz="4" w:space="0" w:color="auto"/>
              <w:left w:val="nil"/>
              <w:bottom w:val="double" w:sz="6" w:space="0" w:color="auto"/>
              <w:right w:val="nil"/>
            </w:tcBorders>
            <w:vAlign w:val="center"/>
          </w:tcPr>
          <w:p w14:paraId="3B66B459" w14:textId="5F830F04" w:rsidR="0069565B" w:rsidRPr="0069565B" w:rsidRDefault="0069565B" w:rsidP="0069565B">
            <w:pPr>
              <w:spacing w:after="0" w:line="240" w:lineRule="auto"/>
              <w:jc w:val="center"/>
              <w:rPr>
                <w:rFonts w:ascii="Times New Roman" w:eastAsia="Times New Roman" w:hAnsi="Times New Roman" w:cs="Times New Roman"/>
                <w:sz w:val="20"/>
                <w:szCs w:val="20"/>
              </w:rPr>
            </w:pPr>
            <w:proofErr w:type="spellStart"/>
            <w:r w:rsidRPr="0069565B">
              <w:rPr>
                <w:rFonts w:ascii="Times New Roman" w:hAnsi="Times New Roman" w:cs="Times New Roman"/>
                <w:color w:val="000000"/>
                <w:sz w:val="20"/>
                <w:szCs w:val="20"/>
              </w:rPr>
              <w:t>TICs</w:t>
            </w:r>
            <w:proofErr w:type="spellEnd"/>
          </w:p>
        </w:tc>
        <w:tc>
          <w:tcPr>
            <w:tcW w:w="1276" w:type="dxa"/>
            <w:tcBorders>
              <w:top w:val="single" w:sz="4" w:space="0" w:color="auto"/>
              <w:left w:val="nil"/>
              <w:bottom w:val="double" w:sz="6" w:space="0" w:color="auto"/>
              <w:right w:val="nil"/>
            </w:tcBorders>
            <w:vAlign w:val="center"/>
          </w:tcPr>
          <w:p w14:paraId="6E217F1D" w14:textId="5F8AD6F8" w:rsidR="0069565B" w:rsidRPr="0069565B" w:rsidRDefault="0069565B" w:rsidP="0069565B">
            <w:pPr>
              <w:spacing w:after="0" w:line="240" w:lineRule="auto"/>
              <w:jc w:val="center"/>
              <w:rPr>
                <w:rFonts w:ascii="Times New Roman" w:eastAsia="Times New Roman" w:hAnsi="Times New Roman" w:cs="Times New Roman"/>
                <w:sz w:val="20"/>
                <w:szCs w:val="20"/>
              </w:rPr>
            </w:pPr>
            <w:r w:rsidRPr="0069565B">
              <w:rPr>
                <w:rFonts w:ascii="Times New Roman" w:hAnsi="Times New Roman" w:cs="Times New Roman"/>
                <w:color w:val="000000"/>
                <w:sz w:val="20"/>
                <w:szCs w:val="20"/>
              </w:rPr>
              <w:t>Manufactura</w:t>
            </w:r>
          </w:p>
        </w:tc>
        <w:tc>
          <w:tcPr>
            <w:tcW w:w="1276" w:type="dxa"/>
            <w:gridSpan w:val="2"/>
            <w:tcBorders>
              <w:top w:val="single" w:sz="4" w:space="0" w:color="auto"/>
              <w:left w:val="nil"/>
              <w:bottom w:val="double" w:sz="6" w:space="0" w:color="auto"/>
              <w:right w:val="nil"/>
            </w:tcBorders>
          </w:tcPr>
          <w:p w14:paraId="3BCE6A8C" w14:textId="0875D994" w:rsidR="0069565B" w:rsidRPr="0069565B" w:rsidRDefault="0069565B" w:rsidP="0069565B">
            <w:pPr>
              <w:spacing w:after="0" w:line="240" w:lineRule="auto"/>
              <w:jc w:val="center"/>
              <w:rPr>
                <w:rFonts w:ascii="Times New Roman" w:hAnsi="Times New Roman" w:cs="Times New Roman"/>
                <w:color w:val="000000"/>
                <w:sz w:val="20"/>
                <w:szCs w:val="20"/>
              </w:rPr>
            </w:pPr>
            <w:r w:rsidRPr="0069565B">
              <w:rPr>
                <w:rFonts w:ascii="Times New Roman" w:hAnsi="Times New Roman" w:cs="Times New Roman"/>
                <w:color w:val="000000"/>
                <w:sz w:val="20"/>
                <w:szCs w:val="20"/>
              </w:rPr>
              <w:t>Construcción</w:t>
            </w:r>
          </w:p>
        </w:tc>
        <w:tc>
          <w:tcPr>
            <w:tcW w:w="992" w:type="dxa"/>
            <w:gridSpan w:val="2"/>
            <w:tcBorders>
              <w:top w:val="single" w:sz="4" w:space="0" w:color="auto"/>
              <w:left w:val="nil"/>
              <w:bottom w:val="double" w:sz="6" w:space="0" w:color="auto"/>
              <w:right w:val="nil"/>
            </w:tcBorders>
          </w:tcPr>
          <w:p w14:paraId="4E82995A" w14:textId="755E5A8D" w:rsidR="0069565B" w:rsidRPr="0069565B" w:rsidRDefault="0069565B" w:rsidP="0069565B">
            <w:pPr>
              <w:spacing w:after="0" w:line="240" w:lineRule="auto"/>
              <w:jc w:val="center"/>
              <w:rPr>
                <w:rFonts w:ascii="Times New Roman" w:hAnsi="Times New Roman" w:cs="Times New Roman"/>
                <w:color w:val="000000"/>
                <w:sz w:val="20"/>
                <w:szCs w:val="20"/>
              </w:rPr>
            </w:pPr>
            <w:r w:rsidRPr="0069565B">
              <w:rPr>
                <w:rFonts w:ascii="Times New Roman" w:hAnsi="Times New Roman" w:cs="Times New Roman"/>
                <w:color w:val="000000"/>
                <w:sz w:val="20"/>
                <w:szCs w:val="20"/>
              </w:rPr>
              <w:t>Comercio</w:t>
            </w:r>
          </w:p>
        </w:tc>
        <w:tc>
          <w:tcPr>
            <w:tcW w:w="709" w:type="dxa"/>
            <w:tcBorders>
              <w:top w:val="single" w:sz="4" w:space="0" w:color="auto"/>
              <w:left w:val="nil"/>
              <w:bottom w:val="double" w:sz="6" w:space="0" w:color="auto"/>
              <w:right w:val="nil"/>
            </w:tcBorders>
          </w:tcPr>
          <w:p w14:paraId="4BA0A7ED" w14:textId="69796ECB" w:rsidR="0069565B" w:rsidRPr="0069565B" w:rsidRDefault="0069565B" w:rsidP="0069565B">
            <w:pPr>
              <w:spacing w:after="0" w:line="240" w:lineRule="auto"/>
              <w:jc w:val="center"/>
              <w:rPr>
                <w:rFonts w:ascii="Times New Roman" w:hAnsi="Times New Roman" w:cs="Times New Roman"/>
                <w:color w:val="000000"/>
                <w:sz w:val="20"/>
                <w:szCs w:val="20"/>
              </w:rPr>
            </w:pPr>
            <w:r w:rsidRPr="0069565B">
              <w:rPr>
                <w:rFonts w:ascii="Times New Roman" w:hAnsi="Times New Roman" w:cs="Times New Roman"/>
                <w:color w:val="000000"/>
                <w:sz w:val="20"/>
                <w:szCs w:val="20"/>
              </w:rPr>
              <w:t>Otros</w:t>
            </w:r>
          </w:p>
        </w:tc>
      </w:tr>
      <w:tr w:rsidR="00F245C4" w:rsidRPr="0069565B" w14:paraId="24C6A9E7" w14:textId="6D570975" w:rsidTr="00F245C4">
        <w:trPr>
          <w:trHeight w:val="694"/>
          <w:jc w:val="center"/>
        </w:trPr>
        <w:tc>
          <w:tcPr>
            <w:tcW w:w="917" w:type="dxa"/>
            <w:tcBorders>
              <w:top w:val="nil"/>
              <w:left w:val="nil"/>
              <w:bottom w:val="nil"/>
              <w:right w:val="nil"/>
            </w:tcBorders>
          </w:tcPr>
          <w:p w14:paraId="316B4366" w14:textId="77777777" w:rsidR="00F245C4" w:rsidRDefault="00F245C4" w:rsidP="0069565B">
            <w:pPr>
              <w:spacing w:after="0" w:line="240" w:lineRule="auto"/>
              <w:jc w:val="center"/>
              <w:rPr>
                <w:rFonts w:ascii="Times New Roman" w:eastAsia="Times New Roman" w:hAnsi="Times New Roman" w:cs="Times New Roman"/>
                <w:sz w:val="20"/>
                <w:szCs w:val="20"/>
                <w:lang w:val="es-CL" w:eastAsia="es-CL"/>
              </w:rPr>
            </w:pPr>
          </w:p>
          <w:p w14:paraId="579D90BA" w14:textId="77777777" w:rsidR="00F245C4" w:rsidRDefault="00F245C4" w:rsidP="0069565B">
            <w:pPr>
              <w:spacing w:after="0" w:line="240" w:lineRule="auto"/>
              <w:jc w:val="center"/>
              <w:rPr>
                <w:rFonts w:ascii="Times New Roman" w:eastAsia="Times New Roman" w:hAnsi="Times New Roman" w:cs="Times New Roman"/>
                <w:sz w:val="20"/>
                <w:szCs w:val="20"/>
                <w:lang w:val="es-CL" w:eastAsia="es-CL"/>
              </w:rPr>
            </w:pPr>
          </w:p>
          <w:p w14:paraId="76202437" w14:textId="478BC1FB" w:rsidR="00F245C4" w:rsidRPr="0069565B" w:rsidRDefault="00F245C4" w:rsidP="0069565B">
            <w:pPr>
              <w:spacing w:after="0" w:line="240" w:lineRule="auto"/>
              <w:jc w:val="center"/>
              <w:rPr>
                <w:rFonts w:ascii="Times New Roman" w:eastAsia="Times New Roman" w:hAnsi="Times New Roman" w:cs="Times New Roman"/>
                <w:sz w:val="20"/>
                <w:szCs w:val="20"/>
                <w:lang w:val="es-CL" w:eastAsia="es-CL"/>
              </w:rPr>
            </w:pPr>
            <w:r w:rsidRPr="0069565B">
              <w:rPr>
                <w:rFonts w:ascii="Times New Roman" w:eastAsia="Times New Roman" w:hAnsi="Times New Roman" w:cs="Times New Roman"/>
                <w:sz w:val="20"/>
                <w:szCs w:val="20"/>
                <w:lang w:val="es-CL" w:eastAsia="es-CL"/>
              </w:rPr>
              <w:t>B-</w:t>
            </w:r>
            <w:proofErr w:type="spellStart"/>
            <w:r w:rsidRPr="0069565B">
              <w:rPr>
                <w:rFonts w:ascii="Times New Roman" w:eastAsia="Times New Roman" w:hAnsi="Times New Roman" w:cs="Times New Roman"/>
                <w:sz w:val="20"/>
                <w:szCs w:val="20"/>
                <w:lang w:val="es-CL" w:eastAsia="es-CL"/>
              </w:rPr>
              <w:t>Index</w:t>
            </w:r>
            <w:proofErr w:type="spellEnd"/>
          </w:p>
        </w:tc>
        <w:tc>
          <w:tcPr>
            <w:tcW w:w="784" w:type="dxa"/>
            <w:tcBorders>
              <w:top w:val="nil"/>
              <w:left w:val="nil"/>
              <w:bottom w:val="nil"/>
              <w:right w:val="nil"/>
            </w:tcBorders>
            <w:shd w:val="clear" w:color="auto" w:fill="auto"/>
            <w:noWrap/>
            <w:vAlign w:val="bottom"/>
            <w:hideMark/>
          </w:tcPr>
          <w:p w14:paraId="4A1A575A" w14:textId="49CDBA42" w:rsidR="00F245C4" w:rsidRPr="0069565B" w:rsidRDefault="00F245C4" w:rsidP="00F245C4">
            <w:pPr>
              <w:spacing w:after="0" w:line="240" w:lineRule="auto"/>
              <w:rPr>
                <w:rFonts w:ascii="Times New Roman" w:eastAsia="Times New Roman" w:hAnsi="Times New Roman" w:cs="Times New Roman"/>
                <w:sz w:val="20"/>
                <w:szCs w:val="20"/>
                <w:lang w:val="es-CL" w:eastAsia="es-CL"/>
              </w:rPr>
            </w:pPr>
            <w:r>
              <w:rPr>
                <w:rFonts w:ascii="Times New Roman" w:hAnsi="Times New Roman" w:cs="Times New Roman"/>
                <w:color w:val="000000"/>
                <w:sz w:val="20"/>
                <w:szCs w:val="20"/>
              </w:rPr>
              <w:t>0</w:t>
            </w:r>
            <w:r w:rsidRPr="0069565B">
              <w:rPr>
                <w:rFonts w:ascii="Times New Roman" w:hAnsi="Times New Roman" w:cs="Times New Roman"/>
                <w:color w:val="000000"/>
                <w:sz w:val="20"/>
                <w:szCs w:val="20"/>
              </w:rPr>
              <w:t>.646</w:t>
            </w:r>
          </w:p>
        </w:tc>
        <w:tc>
          <w:tcPr>
            <w:tcW w:w="1701" w:type="dxa"/>
            <w:tcBorders>
              <w:top w:val="nil"/>
              <w:left w:val="nil"/>
              <w:bottom w:val="nil"/>
              <w:right w:val="nil"/>
            </w:tcBorders>
            <w:vAlign w:val="bottom"/>
          </w:tcPr>
          <w:p w14:paraId="6F95FDD2" w14:textId="507B8F2C" w:rsidR="00F245C4" w:rsidRPr="0069565B" w:rsidRDefault="00F245C4" w:rsidP="0069565B">
            <w:pPr>
              <w:spacing w:after="0" w:line="240" w:lineRule="auto"/>
              <w:jc w:val="center"/>
              <w:rPr>
                <w:rFonts w:ascii="Times New Roman" w:eastAsia="Times New Roman" w:hAnsi="Times New Roman" w:cs="Times New Roman"/>
                <w:sz w:val="20"/>
                <w:szCs w:val="20"/>
                <w:lang w:val="es-CL" w:eastAsia="es-CL"/>
              </w:rPr>
            </w:pPr>
            <w:r w:rsidRPr="0069565B">
              <w:rPr>
                <w:rFonts w:ascii="Times New Roman" w:hAnsi="Times New Roman" w:cs="Times New Roman"/>
                <w:color w:val="000000"/>
                <w:sz w:val="20"/>
                <w:szCs w:val="20"/>
              </w:rPr>
              <w:t xml:space="preserve">             0.647 </w:t>
            </w:r>
          </w:p>
        </w:tc>
        <w:tc>
          <w:tcPr>
            <w:tcW w:w="709" w:type="dxa"/>
            <w:tcBorders>
              <w:top w:val="nil"/>
              <w:left w:val="nil"/>
              <w:bottom w:val="nil"/>
              <w:right w:val="nil"/>
            </w:tcBorders>
            <w:vAlign w:val="bottom"/>
          </w:tcPr>
          <w:p w14:paraId="6837513B" w14:textId="6CDB385E" w:rsidR="00F245C4" w:rsidRPr="0069565B" w:rsidRDefault="00F245C4" w:rsidP="0069565B">
            <w:pPr>
              <w:spacing w:after="0" w:line="240" w:lineRule="auto"/>
              <w:jc w:val="center"/>
              <w:rPr>
                <w:rFonts w:ascii="Times New Roman" w:eastAsia="Times New Roman" w:hAnsi="Times New Roman" w:cs="Times New Roman"/>
                <w:sz w:val="20"/>
                <w:szCs w:val="20"/>
                <w:lang w:val="es-CL" w:eastAsia="es-CL"/>
              </w:rPr>
            </w:pPr>
            <w:r w:rsidRPr="0069565B">
              <w:rPr>
                <w:rFonts w:ascii="Times New Roman" w:hAnsi="Times New Roman" w:cs="Times New Roman"/>
                <w:color w:val="000000"/>
                <w:sz w:val="20"/>
                <w:szCs w:val="20"/>
              </w:rPr>
              <w:t xml:space="preserve">             0.647 </w:t>
            </w:r>
          </w:p>
        </w:tc>
        <w:tc>
          <w:tcPr>
            <w:tcW w:w="851" w:type="dxa"/>
            <w:tcBorders>
              <w:top w:val="nil"/>
              <w:left w:val="nil"/>
              <w:bottom w:val="nil"/>
              <w:right w:val="nil"/>
            </w:tcBorders>
            <w:vAlign w:val="bottom"/>
          </w:tcPr>
          <w:p w14:paraId="2D342CA9" w14:textId="0F987C72" w:rsidR="00F245C4" w:rsidRPr="0069565B" w:rsidRDefault="00F245C4" w:rsidP="0069565B">
            <w:pPr>
              <w:spacing w:after="0" w:line="240" w:lineRule="auto"/>
              <w:jc w:val="center"/>
              <w:rPr>
                <w:rFonts w:ascii="Times New Roman" w:eastAsia="Times New Roman" w:hAnsi="Times New Roman" w:cs="Times New Roman"/>
                <w:sz w:val="20"/>
                <w:szCs w:val="20"/>
                <w:lang w:val="es-CL" w:eastAsia="es-CL"/>
              </w:rPr>
            </w:pPr>
            <w:r w:rsidRPr="0069565B">
              <w:rPr>
                <w:rFonts w:ascii="Times New Roman" w:hAnsi="Times New Roman" w:cs="Times New Roman"/>
                <w:color w:val="000000"/>
                <w:sz w:val="20"/>
                <w:szCs w:val="20"/>
              </w:rPr>
              <w:t xml:space="preserve">             0.639 </w:t>
            </w:r>
          </w:p>
        </w:tc>
        <w:tc>
          <w:tcPr>
            <w:tcW w:w="708" w:type="dxa"/>
            <w:tcBorders>
              <w:top w:val="nil"/>
              <w:left w:val="nil"/>
              <w:bottom w:val="nil"/>
              <w:right w:val="nil"/>
            </w:tcBorders>
            <w:vAlign w:val="bottom"/>
          </w:tcPr>
          <w:p w14:paraId="45A21C45" w14:textId="384091A1" w:rsidR="00F245C4" w:rsidRPr="0069565B" w:rsidRDefault="00F245C4" w:rsidP="0069565B">
            <w:pPr>
              <w:spacing w:after="0" w:line="240" w:lineRule="auto"/>
              <w:jc w:val="center"/>
              <w:rPr>
                <w:rFonts w:ascii="Times New Roman" w:eastAsia="Times New Roman" w:hAnsi="Times New Roman" w:cs="Times New Roman"/>
                <w:sz w:val="20"/>
                <w:szCs w:val="20"/>
                <w:lang w:val="es-CL" w:eastAsia="es-CL"/>
              </w:rPr>
            </w:pPr>
            <w:r w:rsidRPr="0069565B">
              <w:rPr>
                <w:rFonts w:ascii="Times New Roman" w:hAnsi="Times New Roman" w:cs="Times New Roman"/>
                <w:color w:val="000000"/>
                <w:sz w:val="20"/>
                <w:szCs w:val="20"/>
              </w:rPr>
              <w:t xml:space="preserve">             0.647 </w:t>
            </w:r>
          </w:p>
        </w:tc>
        <w:tc>
          <w:tcPr>
            <w:tcW w:w="1276" w:type="dxa"/>
            <w:tcBorders>
              <w:top w:val="nil"/>
              <w:left w:val="nil"/>
              <w:bottom w:val="nil"/>
              <w:right w:val="nil"/>
            </w:tcBorders>
            <w:vAlign w:val="bottom"/>
          </w:tcPr>
          <w:p w14:paraId="77236AD7" w14:textId="60836A18" w:rsidR="00F245C4" w:rsidRPr="0069565B" w:rsidRDefault="001528EB" w:rsidP="001528EB">
            <w:pPr>
              <w:spacing w:after="0" w:line="240" w:lineRule="auto"/>
              <w:rPr>
                <w:rFonts w:ascii="Times New Roman" w:eastAsia="Times New Roman" w:hAnsi="Times New Roman" w:cs="Times New Roman"/>
                <w:sz w:val="20"/>
                <w:szCs w:val="20"/>
                <w:lang w:val="es-CL" w:eastAsia="es-CL"/>
              </w:rPr>
            </w:pPr>
            <w:r>
              <w:rPr>
                <w:rFonts w:ascii="Times New Roman" w:hAnsi="Times New Roman" w:cs="Times New Roman"/>
                <w:color w:val="000000"/>
                <w:sz w:val="20"/>
                <w:szCs w:val="20"/>
              </w:rPr>
              <w:t xml:space="preserve">   </w:t>
            </w:r>
            <w:r w:rsidR="00F245C4" w:rsidRPr="0069565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F245C4" w:rsidRPr="0069565B">
              <w:rPr>
                <w:rFonts w:ascii="Times New Roman" w:hAnsi="Times New Roman" w:cs="Times New Roman"/>
                <w:color w:val="000000"/>
                <w:sz w:val="20"/>
                <w:szCs w:val="20"/>
              </w:rPr>
              <w:t xml:space="preserve">0.646 </w:t>
            </w:r>
          </w:p>
        </w:tc>
        <w:tc>
          <w:tcPr>
            <w:tcW w:w="709" w:type="dxa"/>
            <w:tcBorders>
              <w:top w:val="nil"/>
              <w:left w:val="nil"/>
              <w:bottom w:val="nil"/>
              <w:right w:val="nil"/>
            </w:tcBorders>
            <w:vAlign w:val="bottom"/>
          </w:tcPr>
          <w:p w14:paraId="67D30A03" w14:textId="01B214F0" w:rsidR="00F245C4" w:rsidRPr="0069565B" w:rsidRDefault="00F245C4" w:rsidP="0069565B">
            <w:pPr>
              <w:spacing w:after="0" w:line="240" w:lineRule="auto"/>
              <w:jc w:val="center"/>
              <w:rPr>
                <w:rFonts w:ascii="Times New Roman" w:hAnsi="Times New Roman" w:cs="Times New Roman"/>
                <w:color w:val="000000"/>
                <w:sz w:val="20"/>
                <w:szCs w:val="20"/>
              </w:rPr>
            </w:pPr>
            <w:r w:rsidRPr="0069565B">
              <w:rPr>
                <w:rFonts w:ascii="Times New Roman" w:hAnsi="Times New Roman" w:cs="Times New Roman"/>
                <w:color w:val="000000"/>
                <w:sz w:val="20"/>
                <w:szCs w:val="20"/>
              </w:rPr>
              <w:t xml:space="preserve">             </w:t>
            </w:r>
            <w:r w:rsidR="001528EB">
              <w:rPr>
                <w:rFonts w:ascii="Times New Roman" w:hAnsi="Times New Roman" w:cs="Times New Roman"/>
                <w:color w:val="000000"/>
                <w:sz w:val="20"/>
                <w:szCs w:val="20"/>
              </w:rPr>
              <w:t xml:space="preserve">                                       0.647</w:t>
            </w:r>
            <w:r w:rsidRPr="0069565B">
              <w:rPr>
                <w:rFonts w:ascii="Times New Roman" w:hAnsi="Times New Roman" w:cs="Times New Roman"/>
                <w:color w:val="000000"/>
                <w:sz w:val="20"/>
                <w:szCs w:val="20"/>
              </w:rPr>
              <w:t xml:space="preserve"> </w:t>
            </w:r>
            <w:r w:rsidR="001528EB">
              <w:rPr>
                <w:rFonts w:ascii="Times New Roman" w:hAnsi="Times New Roman" w:cs="Times New Roman"/>
                <w:color w:val="000000"/>
                <w:sz w:val="20"/>
                <w:szCs w:val="20"/>
              </w:rPr>
              <w:t xml:space="preserve">      </w:t>
            </w:r>
            <w:bookmarkStart w:id="14" w:name="_GoBack"/>
            <w:bookmarkEnd w:id="14"/>
            <w:r w:rsidR="001528EB">
              <w:rPr>
                <w:rFonts w:ascii="Times New Roman" w:hAnsi="Times New Roman" w:cs="Times New Roman"/>
                <w:color w:val="000000"/>
                <w:sz w:val="20"/>
                <w:szCs w:val="20"/>
              </w:rPr>
              <w:t xml:space="preserve">  </w:t>
            </w:r>
          </w:p>
        </w:tc>
        <w:tc>
          <w:tcPr>
            <w:tcW w:w="709" w:type="dxa"/>
            <w:gridSpan w:val="2"/>
            <w:tcBorders>
              <w:top w:val="nil"/>
              <w:left w:val="nil"/>
              <w:bottom w:val="nil"/>
              <w:right w:val="nil"/>
            </w:tcBorders>
            <w:vAlign w:val="bottom"/>
          </w:tcPr>
          <w:p w14:paraId="165CB142" w14:textId="789017AF" w:rsidR="00F245C4" w:rsidRPr="0069565B" w:rsidRDefault="00F245C4" w:rsidP="001528EB">
            <w:pPr>
              <w:spacing w:after="0" w:line="240" w:lineRule="auto"/>
              <w:rPr>
                <w:rFonts w:ascii="Times New Roman" w:hAnsi="Times New Roman" w:cs="Times New Roman"/>
                <w:color w:val="000000"/>
                <w:sz w:val="20"/>
                <w:szCs w:val="20"/>
              </w:rPr>
            </w:pPr>
            <w:r w:rsidRPr="0069565B">
              <w:rPr>
                <w:rFonts w:ascii="Times New Roman" w:hAnsi="Times New Roman" w:cs="Times New Roman"/>
                <w:color w:val="000000"/>
                <w:sz w:val="20"/>
                <w:szCs w:val="20"/>
              </w:rPr>
              <w:t xml:space="preserve">   </w:t>
            </w:r>
            <w:r w:rsidR="00A141C7">
              <w:rPr>
                <w:rFonts w:ascii="Times New Roman" w:hAnsi="Times New Roman" w:cs="Times New Roman"/>
                <w:color w:val="000000"/>
                <w:sz w:val="20"/>
                <w:szCs w:val="20"/>
              </w:rPr>
              <w:t xml:space="preserve">      </w:t>
            </w:r>
            <w:r w:rsidR="001528EB">
              <w:rPr>
                <w:rFonts w:ascii="Times New Roman" w:hAnsi="Times New Roman" w:cs="Times New Roman"/>
                <w:color w:val="000000"/>
                <w:sz w:val="20"/>
                <w:szCs w:val="20"/>
              </w:rPr>
              <w:t xml:space="preserve">          </w:t>
            </w:r>
            <w:r w:rsidRPr="0069565B">
              <w:rPr>
                <w:rFonts w:ascii="Times New Roman" w:hAnsi="Times New Roman" w:cs="Times New Roman"/>
                <w:color w:val="000000"/>
                <w:sz w:val="20"/>
                <w:szCs w:val="20"/>
              </w:rPr>
              <w:t xml:space="preserve"> </w:t>
            </w:r>
          </w:p>
        </w:tc>
        <w:tc>
          <w:tcPr>
            <w:tcW w:w="1559" w:type="dxa"/>
            <w:gridSpan w:val="2"/>
            <w:tcBorders>
              <w:top w:val="nil"/>
              <w:left w:val="nil"/>
              <w:bottom w:val="nil"/>
              <w:right w:val="nil"/>
            </w:tcBorders>
            <w:vAlign w:val="bottom"/>
          </w:tcPr>
          <w:p w14:paraId="3F12CFF4" w14:textId="10C3157E" w:rsidR="00F245C4" w:rsidRPr="0069565B" w:rsidRDefault="001528EB" w:rsidP="001528E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0.649</w:t>
            </w:r>
            <w:r w:rsidR="00F245C4" w:rsidRPr="0069565B">
              <w:rPr>
                <w:rFonts w:ascii="Times New Roman" w:hAnsi="Times New Roman" w:cs="Times New Roman"/>
                <w:color w:val="000000"/>
                <w:sz w:val="20"/>
                <w:szCs w:val="20"/>
              </w:rPr>
              <w:t xml:space="preserve">       0.641 </w:t>
            </w:r>
          </w:p>
        </w:tc>
      </w:tr>
      <w:tr w:rsidR="00F245C4" w:rsidRPr="00F245C4" w14:paraId="358E5E90" w14:textId="77777777" w:rsidTr="000739FE">
        <w:trPr>
          <w:trHeight w:val="694"/>
          <w:jc w:val="center"/>
        </w:trPr>
        <w:tc>
          <w:tcPr>
            <w:tcW w:w="9923" w:type="dxa"/>
            <w:gridSpan w:val="12"/>
            <w:tcBorders>
              <w:top w:val="nil"/>
              <w:left w:val="nil"/>
              <w:bottom w:val="single" w:sz="4" w:space="0" w:color="auto"/>
            </w:tcBorders>
          </w:tcPr>
          <w:p w14:paraId="46A15032" w14:textId="77777777" w:rsidR="00F245C4" w:rsidRPr="00F245C4" w:rsidRDefault="00F245C4" w:rsidP="0069565B">
            <w:pPr>
              <w:spacing w:after="0" w:line="240" w:lineRule="auto"/>
              <w:jc w:val="center"/>
              <w:rPr>
                <w:rFonts w:ascii="Times New Roman" w:hAnsi="Times New Roman" w:cs="Times New Roman"/>
                <w:color w:val="000000"/>
                <w:sz w:val="20"/>
                <w:szCs w:val="20"/>
                <w:u w:val="single"/>
              </w:rPr>
            </w:pPr>
          </w:p>
        </w:tc>
      </w:tr>
    </w:tbl>
    <w:p w14:paraId="666ED5FB" w14:textId="0648B5A8" w:rsidR="00D56397" w:rsidRPr="006A0175" w:rsidRDefault="00D56397">
      <w:pPr>
        <w:spacing w:after="160" w:line="259" w:lineRule="auto"/>
        <w:rPr>
          <w:rFonts w:ascii="Times New Roman" w:eastAsiaTheme="minorEastAsia" w:hAnsi="Times New Roman" w:cs="Times New Roman"/>
          <w:sz w:val="24"/>
          <w:szCs w:val="24"/>
          <w:lang w:val="es-CL"/>
        </w:rPr>
      </w:pPr>
    </w:p>
    <w:p w14:paraId="2174C208" w14:textId="67210D24" w:rsidR="009053F0" w:rsidRDefault="001228C8" w:rsidP="00C72D84">
      <w:pPr>
        <w:pStyle w:val="Ttulo1"/>
      </w:pPr>
      <w:bookmarkStart w:id="15" w:name="_Toc470081856"/>
      <w:r>
        <w:lastRenderedPageBreak/>
        <w:t>Conclusiones</w:t>
      </w:r>
      <w:bookmarkEnd w:id="15"/>
    </w:p>
    <w:p w14:paraId="7A021B94" w14:textId="77777777" w:rsidR="00550CB7" w:rsidRPr="00550CB7" w:rsidRDefault="00550CB7" w:rsidP="00550CB7"/>
    <w:p w14:paraId="0E63193D" w14:textId="6C3C9DDF" w:rsidR="00C85952" w:rsidRPr="00C85952" w:rsidRDefault="00550CB7" w:rsidP="00F245C4">
      <w:pPr>
        <w:jc w:val="both"/>
        <w:rPr>
          <w:rFonts w:ascii="Times New Roman" w:eastAsiaTheme="minorEastAsia" w:hAnsi="Times New Roman"/>
          <w:sz w:val="24"/>
          <w:szCs w:val="24"/>
        </w:rPr>
      </w:pPr>
      <w:r w:rsidRPr="00F245C4">
        <w:rPr>
          <w:rFonts w:ascii="Times New Roman" w:eastAsiaTheme="minorEastAsia" w:hAnsi="Times New Roman" w:cs="Times New Roman"/>
          <w:sz w:val="24"/>
          <w:szCs w:val="24"/>
        </w:rPr>
        <w:t xml:space="preserve">El gasto en I+D total del país crece a un ritmo superior que el PIB, y se explica en mayor medida por </w:t>
      </w:r>
      <w:r w:rsidR="00803008">
        <w:rPr>
          <w:rFonts w:ascii="Times New Roman" w:eastAsiaTheme="minorEastAsia" w:hAnsi="Times New Roman" w:cs="Times New Roman"/>
          <w:sz w:val="24"/>
          <w:szCs w:val="24"/>
        </w:rPr>
        <w:t>lo ejecutado por U</w:t>
      </w:r>
      <w:r w:rsidRPr="00F245C4">
        <w:rPr>
          <w:rFonts w:ascii="Times New Roman" w:eastAsiaTheme="minorEastAsia" w:hAnsi="Times New Roman" w:cs="Times New Roman"/>
          <w:sz w:val="24"/>
          <w:szCs w:val="24"/>
        </w:rPr>
        <w:t>niversidades, el Estado y las Instituciones Privadas Sin Fines de Lucro, y no por las empresas. El incentivo tributario para la inversión privada en I+D está correctamente diseñado</w:t>
      </w:r>
      <w:r w:rsidR="008B0BFD" w:rsidRPr="00F245C4">
        <w:rPr>
          <w:rFonts w:ascii="Times New Roman" w:eastAsiaTheme="minorEastAsia" w:hAnsi="Times New Roman" w:cs="Times New Roman"/>
          <w:sz w:val="24"/>
          <w:szCs w:val="24"/>
        </w:rPr>
        <w:t xml:space="preserve"> de acuerdo al B-</w:t>
      </w:r>
      <w:proofErr w:type="spellStart"/>
      <w:r w:rsidR="008B0BFD" w:rsidRPr="00F245C4">
        <w:rPr>
          <w:rFonts w:ascii="Times New Roman" w:eastAsiaTheme="minorEastAsia" w:hAnsi="Times New Roman" w:cs="Times New Roman"/>
          <w:sz w:val="24"/>
          <w:szCs w:val="24"/>
        </w:rPr>
        <w:t>index</w:t>
      </w:r>
      <w:proofErr w:type="spellEnd"/>
      <w:r w:rsidR="008B0BFD" w:rsidRPr="00F245C4">
        <w:rPr>
          <w:rFonts w:ascii="Times New Roman" w:eastAsiaTheme="minorEastAsia" w:hAnsi="Times New Roman" w:cs="Times New Roman"/>
          <w:sz w:val="24"/>
          <w:szCs w:val="24"/>
        </w:rPr>
        <w:t xml:space="preserve"> computado en este estudio, el cual sitúa a la “generosidad” del incentivo tributario chileno dentro entre los primeros diez lugares de la OCDE. </w:t>
      </w:r>
      <w:r w:rsidR="00C85952">
        <w:rPr>
          <w:rFonts w:ascii="Times New Roman" w:eastAsiaTheme="minorEastAsia" w:hAnsi="Times New Roman" w:cs="Times New Roman"/>
          <w:sz w:val="24"/>
          <w:szCs w:val="24"/>
        </w:rPr>
        <w:t>Además,</w:t>
      </w:r>
      <w:r w:rsidR="00C85952" w:rsidRPr="00C85952">
        <w:rPr>
          <w:rFonts w:ascii="Times New Roman" w:eastAsiaTheme="minorEastAsia" w:hAnsi="Times New Roman" w:cs="Times New Roman"/>
          <w:sz w:val="24"/>
          <w:szCs w:val="24"/>
        </w:rPr>
        <w:t xml:space="preserve"> </w:t>
      </w:r>
      <w:r w:rsidR="00C85952" w:rsidRPr="00550CB7">
        <w:rPr>
          <w:rFonts w:ascii="Times New Roman" w:eastAsiaTheme="minorEastAsia" w:hAnsi="Times New Roman" w:cs="Times New Roman"/>
          <w:sz w:val="24"/>
          <w:szCs w:val="24"/>
        </w:rPr>
        <w:t>no exist</w:t>
      </w:r>
      <w:r w:rsidR="00803008">
        <w:rPr>
          <w:rFonts w:ascii="Times New Roman" w:eastAsiaTheme="minorEastAsia" w:hAnsi="Times New Roman" w:cs="Times New Roman"/>
          <w:sz w:val="24"/>
          <w:szCs w:val="24"/>
        </w:rPr>
        <w:t>e diferencia significativa ni</w:t>
      </w:r>
      <w:r w:rsidR="00C85952" w:rsidRPr="00550CB7">
        <w:rPr>
          <w:rFonts w:ascii="Times New Roman" w:eastAsiaTheme="minorEastAsia" w:hAnsi="Times New Roman" w:cs="Times New Roman"/>
          <w:sz w:val="24"/>
          <w:szCs w:val="24"/>
        </w:rPr>
        <w:t xml:space="preserve"> por tamaño de empresas ni por sector económico, es decir, “la generosidad” del incentivo permanece invariable por tamaño de empresa y sector económico.</w:t>
      </w:r>
    </w:p>
    <w:p w14:paraId="2F306B0C" w14:textId="51AEDEAF" w:rsidR="00F245C4" w:rsidRDefault="00EE5DEF" w:rsidP="00F245C4">
      <w:pPr>
        <w:jc w:val="both"/>
        <w:rPr>
          <w:rFonts w:ascii="Times New Roman" w:hAnsi="Times New Roman"/>
          <w:color w:val="231F20"/>
          <w:sz w:val="24"/>
          <w:szCs w:val="24"/>
        </w:rPr>
      </w:pPr>
      <w:r>
        <w:rPr>
          <w:rFonts w:ascii="Times New Roman" w:eastAsiaTheme="minorEastAsia" w:hAnsi="Times New Roman" w:cs="Times New Roman"/>
          <w:sz w:val="24"/>
          <w:szCs w:val="24"/>
        </w:rPr>
        <w:t>Du</w:t>
      </w:r>
      <w:r w:rsidR="00623875">
        <w:rPr>
          <w:rFonts w:ascii="Times New Roman" w:eastAsiaTheme="minorEastAsia" w:hAnsi="Times New Roman" w:cs="Times New Roman"/>
          <w:sz w:val="24"/>
          <w:szCs w:val="24"/>
        </w:rPr>
        <w:t>rante 2014, d</w:t>
      </w:r>
      <w:r w:rsidR="00F245C4" w:rsidRPr="00F245C4">
        <w:rPr>
          <w:rFonts w:ascii="Times New Roman" w:eastAsiaTheme="minorEastAsia" w:hAnsi="Times New Roman" w:cs="Times New Roman"/>
          <w:sz w:val="24"/>
          <w:szCs w:val="24"/>
        </w:rPr>
        <w:t>e cada 10 pesos invertidos por empresas en I+D en Chile, solo 1,8 han sido afectos a solicitudes de beneficios tributarios</w:t>
      </w:r>
      <w:r w:rsidR="00F245C4">
        <w:rPr>
          <w:rFonts w:ascii="Times New Roman" w:eastAsiaTheme="minorEastAsia" w:hAnsi="Times New Roman" w:cs="Times New Roman"/>
          <w:sz w:val="24"/>
          <w:szCs w:val="24"/>
        </w:rPr>
        <w:t xml:space="preserve">. Si bien </w:t>
      </w:r>
      <w:r w:rsidR="00550CB7">
        <w:rPr>
          <w:rFonts w:ascii="Times New Roman" w:hAnsi="Times New Roman"/>
          <w:color w:val="231F20"/>
          <w:sz w:val="24"/>
          <w:szCs w:val="24"/>
        </w:rPr>
        <w:t xml:space="preserve">el sector privado </w:t>
      </w:r>
      <w:r w:rsidR="00F245C4">
        <w:rPr>
          <w:rFonts w:ascii="Times New Roman" w:hAnsi="Times New Roman"/>
          <w:color w:val="231F20"/>
          <w:sz w:val="24"/>
          <w:szCs w:val="24"/>
        </w:rPr>
        <w:t>ha mostrado una creciente disposición en el tiem</w:t>
      </w:r>
      <w:r w:rsidR="00C85952">
        <w:rPr>
          <w:rFonts w:ascii="Times New Roman" w:hAnsi="Times New Roman"/>
          <w:color w:val="231F20"/>
          <w:sz w:val="24"/>
          <w:szCs w:val="24"/>
        </w:rPr>
        <w:t>po a</w:t>
      </w:r>
      <w:r w:rsidR="00F245C4">
        <w:rPr>
          <w:rFonts w:ascii="Times New Roman" w:hAnsi="Times New Roman"/>
          <w:color w:val="231F20"/>
          <w:sz w:val="24"/>
          <w:szCs w:val="24"/>
        </w:rPr>
        <w:t xml:space="preserve"> gastar en I+D mediante certificaciones de sus proyectos de I+D, ejecuta</w:t>
      </w:r>
      <w:r w:rsidR="00C85952">
        <w:rPr>
          <w:rFonts w:ascii="Times New Roman" w:hAnsi="Times New Roman"/>
          <w:color w:val="231F20"/>
          <w:sz w:val="24"/>
          <w:szCs w:val="24"/>
        </w:rPr>
        <w:t xml:space="preserve"> solo una pequeña fracción de lo certificado. </w:t>
      </w:r>
    </w:p>
    <w:p w14:paraId="17998663" w14:textId="4CE417C8" w:rsidR="009053F0" w:rsidRDefault="00623875" w:rsidP="00C85952">
      <w:pPr>
        <w:jc w:val="both"/>
        <w:rPr>
          <w:rFonts w:ascii="Times New Roman" w:hAnsi="Times New Roman"/>
          <w:color w:val="231F20"/>
          <w:sz w:val="24"/>
          <w:szCs w:val="24"/>
        </w:rPr>
      </w:pPr>
      <w:r>
        <w:rPr>
          <w:rFonts w:ascii="Times New Roman" w:hAnsi="Times New Roman"/>
          <w:color w:val="231F20"/>
          <w:sz w:val="24"/>
          <w:szCs w:val="24"/>
        </w:rPr>
        <w:t>Si el diseño de</w:t>
      </w:r>
      <w:r w:rsidR="00A141C7">
        <w:rPr>
          <w:rFonts w:ascii="Times New Roman" w:hAnsi="Times New Roman"/>
          <w:color w:val="231F20"/>
          <w:sz w:val="24"/>
          <w:szCs w:val="24"/>
        </w:rPr>
        <w:t xml:space="preserve"> la Ley de Incentivo T</w:t>
      </w:r>
      <w:r w:rsidR="00C85952">
        <w:rPr>
          <w:rFonts w:ascii="Times New Roman" w:hAnsi="Times New Roman"/>
          <w:color w:val="231F20"/>
          <w:sz w:val="24"/>
          <w:szCs w:val="24"/>
        </w:rPr>
        <w:t>ributario a la inversión p</w:t>
      </w:r>
      <w:r w:rsidR="00803008">
        <w:rPr>
          <w:rFonts w:ascii="Times New Roman" w:hAnsi="Times New Roman"/>
          <w:color w:val="231F20"/>
          <w:sz w:val="24"/>
          <w:szCs w:val="24"/>
        </w:rPr>
        <w:t>rivada en I+D es robusto</w:t>
      </w:r>
      <w:r w:rsidR="00C85952">
        <w:rPr>
          <w:rFonts w:ascii="Times New Roman" w:hAnsi="Times New Roman"/>
          <w:color w:val="231F20"/>
          <w:sz w:val="24"/>
          <w:szCs w:val="24"/>
        </w:rPr>
        <w:t xml:space="preserve"> como sugiere este estudio, el desafío de política pública radica en intentar comprender las razones de por</w:t>
      </w:r>
      <w:r w:rsidR="00803008">
        <w:rPr>
          <w:rFonts w:ascii="Times New Roman" w:hAnsi="Times New Roman"/>
          <w:color w:val="231F20"/>
          <w:sz w:val="24"/>
          <w:szCs w:val="24"/>
        </w:rPr>
        <w:t xml:space="preserve"> qué</w:t>
      </w:r>
      <w:r w:rsidR="00C85952">
        <w:rPr>
          <w:rFonts w:ascii="Times New Roman" w:hAnsi="Times New Roman"/>
          <w:color w:val="231F20"/>
          <w:sz w:val="24"/>
          <w:szCs w:val="24"/>
        </w:rPr>
        <w:t xml:space="preserve"> las empresas, uno, invierten muy poco en I+D, dos, </w:t>
      </w:r>
      <w:r>
        <w:rPr>
          <w:rFonts w:ascii="Times New Roman" w:hAnsi="Times New Roman"/>
          <w:color w:val="231F20"/>
          <w:sz w:val="24"/>
          <w:szCs w:val="24"/>
        </w:rPr>
        <w:t>de</w:t>
      </w:r>
      <w:r w:rsidR="00803008">
        <w:rPr>
          <w:rFonts w:ascii="Times New Roman" w:hAnsi="Times New Roman"/>
          <w:color w:val="231F20"/>
          <w:sz w:val="24"/>
          <w:szCs w:val="24"/>
        </w:rPr>
        <w:t xml:space="preserve"> </w:t>
      </w:r>
      <w:r>
        <w:rPr>
          <w:rFonts w:ascii="Times New Roman" w:hAnsi="Times New Roman"/>
          <w:color w:val="231F20"/>
          <w:sz w:val="24"/>
          <w:szCs w:val="24"/>
        </w:rPr>
        <w:t>lo</w:t>
      </w:r>
      <w:r w:rsidR="00C85952">
        <w:rPr>
          <w:rFonts w:ascii="Times New Roman" w:hAnsi="Times New Roman"/>
          <w:color w:val="231F20"/>
          <w:sz w:val="24"/>
          <w:szCs w:val="24"/>
        </w:rPr>
        <w:t xml:space="preserve"> que invierten </w:t>
      </w:r>
      <w:r>
        <w:rPr>
          <w:rFonts w:ascii="Times New Roman" w:hAnsi="Times New Roman"/>
          <w:color w:val="231F20"/>
          <w:sz w:val="24"/>
          <w:szCs w:val="24"/>
        </w:rPr>
        <w:t>certifican una fracción pequeña</w:t>
      </w:r>
      <w:r w:rsidR="00C85952">
        <w:rPr>
          <w:rFonts w:ascii="Times New Roman" w:hAnsi="Times New Roman"/>
          <w:color w:val="231F20"/>
          <w:sz w:val="24"/>
          <w:szCs w:val="24"/>
        </w:rPr>
        <w:t>, y tres, ejecutan una exigua parte de lo certificado.</w:t>
      </w:r>
    </w:p>
    <w:p w14:paraId="1460BB2C" w14:textId="77777777" w:rsidR="00C85952" w:rsidRPr="00C85952" w:rsidRDefault="00C85952" w:rsidP="00C85952">
      <w:pPr>
        <w:jc w:val="both"/>
        <w:rPr>
          <w:rFonts w:ascii="Times New Roman" w:hAnsi="Times New Roman"/>
          <w:color w:val="231F20"/>
          <w:sz w:val="24"/>
          <w:szCs w:val="24"/>
        </w:rPr>
      </w:pPr>
    </w:p>
    <w:p w14:paraId="6B31F04B" w14:textId="151C94E3" w:rsidR="00550CB7" w:rsidRPr="00C85952" w:rsidRDefault="00550CB7" w:rsidP="00C85952">
      <w:pPr>
        <w:pStyle w:val="Sinespaciado"/>
        <w:rPr>
          <w:rFonts w:ascii="Times New Roman" w:hAnsi="Times New Roman"/>
          <w:sz w:val="24"/>
          <w:szCs w:val="24"/>
          <w:lang w:val="en-US"/>
        </w:rPr>
      </w:pPr>
    </w:p>
    <w:p w14:paraId="57E48825" w14:textId="6547696F" w:rsidR="00550CB7" w:rsidRDefault="00550CB7" w:rsidP="00550CB7">
      <w:pPr>
        <w:spacing w:after="0" w:line="240" w:lineRule="auto"/>
        <w:jc w:val="both"/>
        <w:rPr>
          <w:rFonts w:ascii="Times New Roman" w:hAnsi="Times New Roman"/>
          <w:color w:val="231F20"/>
          <w:sz w:val="24"/>
          <w:szCs w:val="24"/>
        </w:rPr>
      </w:pPr>
    </w:p>
    <w:p w14:paraId="7FA4BE75" w14:textId="7259B125" w:rsidR="00550CB7" w:rsidRDefault="00550CB7" w:rsidP="00550CB7">
      <w:pPr>
        <w:spacing w:after="0" w:line="240" w:lineRule="auto"/>
        <w:jc w:val="both"/>
        <w:rPr>
          <w:rFonts w:ascii="Times New Roman" w:hAnsi="Times New Roman"/>
          <w:color w:val="231F20"/>
          <w:sz w:val="24"/>
          <w:szCs w:val="24"/>
        </w:rPr>
      </w:pPr>
    </w:p>
    <w:p w14:paraId="75EDC72F" w14:textId="0BCDA332" w:rsidR="00550CB7" w:rsidRDefault="00550CB7" w:rsidP="00550CB7">
      <w:pPr>
        <w:spacing w:after="0" w:line="240" w:lineRule="auto"/>
        <w:jc w:val="both"/>
        <w:rPr>
          <w:rFonts w:ascii="Times New Roman" w:hAnsi="Times New Roman"/>
          <w:color w:val="231F20"/>
          <w:sz w:val="24"/>
          <w:szCs w:val="24"/>
        </w:rPr>
      </w:pPr>
    </w:p>
    <w:p w14:paraId="6AFA66C4" w14:textId="1EF6F9B0" w:rsidR="00550CB7" w:rsidRDefault="00550CB7" w:rsidP="00550CB7">
      <w:pPr>
        <w:spacing w:after="0" w:line="240" w:lineRule="auto"/>
        <w:jc w:val="both"/>
        <w:rPr>
          <w:rFonts w:ascii="Times New Roman" w:hAnsi="Times New Roman"/>
          <w:color w:val="231F20"/>
          <w:sz w:val="24"/>
          <w:szCs w:val="24"/>
        </w:rPr>
      </w:pPr>
    </w:p>
    <w:p w14:paraId="03D594EE" w14:textId="00D143D5" w:rsidR="00550CB7" w:rsidRDefault="00550CB7" w:rsidP="00550CB7">
      <w:pPr>
        <w:spacing w:after="0" w:line="240" w:lineRule="auto"/>
        <w:jc w:val="both"/>
        <w:rPr>
          <w:rFonts w:ascii="Times New Roman" w:hAnsi="Times New Roman"/>
          <w:color w:val="231F20"/>
          <w:sz w:val="24"/>
          <w:szCs w:val="24"/>
        </w:rPr>
      </w:pPr>
    </w:p>
    <w:p w14:paraId="7723EC56" w14:textId="17E675DF" w:rsidR="00550CB7" w:rsidRDefault="00550CB7" w:rsidP="00550CB7">
      <w:pPr>
        <w:spacing w:after="0" w:line="240" w:lineRule="auto"/>
        <w:jc w:val="both"/>
        <w:rPr>
          <w:rFonts w:ascii="Times New Roman" w:hAnsi="Times New Roman"/>
          <w:color w:val="231F20"/>
          <w:sz w:val="24"/>
          <w:szCs w:val="24"/>
        </w:rPr>
      </w:pPr>
    </w:p>
    <w:p w14:paraId="7F44B0DE" w14:textId="73C7D497" w:rsidR="00550CB7" w:rsidRDefault="00550CB7" w:rsidP="00550CB7">
      <w:pPr>
        <w:spacing w:after="0" w:line="240" w:lineRule="auto"/>
        <w:jc w:val="both"/>
        <w:rPr>
          <w:rFonts w:ascii="Times New Roman" w:hAnsi="Times New Roman"/>
          <w:color w:val="231F20"/>
          <w:sz w:val="24"/>
          <w:szCs w:val="24"/>
        </w:rPr>
      </w:pPr>
    </w:p>
    <w:p w14:paraId="5433A50F" w14:textId="3C1CE90C" w:rsidR="00550CB7" w:rsidRDefault="00550CB7" w:rsidP="00550CB7">
      <w:pPr>
        <w:spacing w:after="0" w:line="240" w:lineRule="auto"/>
        <w:jc w:val="both"/>
        <w:rPr>
          <w:rFonts w:ascii="Times New Roman" w:hAnsi="Times New Roman"/>
          <w:color w:val="231F20"/>
          <w:sz w:val="24"/>
          <w:szCs w:val="24"/>
        </w:rPr>
      </w:pPr>
    </w:p>
    <w:p w14:paraId="3C254DBF" w14:textId="416AF3DE" w:rsidR="00550CB7" w:rsidRDefault="00550CB7" w:rsidP="00550CB7">
      <w:pPr>
        <w:spacing w:after="0" w:line="240" w:lineRule="auto"/>
        <w:jc w:val="both"/>
        <w:rPr>
          <w:rFonts w:ascii="Times New Roman" w:hAnsi="Times New Roman"/>
          <w:color w:val="231F20"/>
          <w:sz w:val="24"/>
          <w:szCs w:val="24"/>
        </w:rPr>
      </w:pPr>
    </w:p>
    <w:p w14:paraId="3F1A5E5F" w14:textId="318F789D" w:rsidR="00550CB7" w:rsidRDefault="00550CB7" w:rsidP="00550CB7">
      <w:pPr>
        <w:spacing w:after="0" w:line="240" w:lineRule="auto"/>
        <w:jc w:val="both"/>
        <w:rPr>
          <w:rFonts w:ascii="Times New Roman" w:hAnsi="Times New Roman"/>
          <w:color w:val="231F20"/>
          <w:sz w:val="24"/>
          <w:szCs w:val="24"/>
        </w:rPr>
      </w:pPr>
    </w:p>
    <w:p w14:paraId="6812F533" w14:textId="11151CC9" w:rsidR="00550CB7" w:rsidRDefault="00550CB7" w:rsidP="00550CB7">
      <w:pPr>
        <w:spacing w:after="0" w:line="240" w:lineRule="auto"/>
        <w:jc w:val="both"/>
        <w:rPr>
          <w:rFonts w:ascii="Times New Roman" w:hAnsi="Times New Roman"/>
          <w:color w:val="231F20"/>
          <w:sz w:val="24"/>
          <w:szCs w:val="24"/>
        </w:rPr>
      </w:pPr>
    </w:p>
    <w:p w14:paraId="71FE090F" w14:textId="5E7872DC" w:rsidR="00550CB7" w:rsidRDefault="00550CB7" w:rsidP="00550CB7">
      <w:pPr>
        <w:spacing w:after="0" w:line="240" w:lineRule="auto"/>
        <w:jc w:val="both"/>
        <w:rPr>
          <w:rFonts w:ascii="Times New Roman" w:hAnsi="Times New Roman"/>
          <w:color w:val="231F20"/>
          <w:sz w:val="24"/>
          <w:szCs w:val="24"/>
        </w:rPr>
      </w:pPr>
    </w:p>
    <w:p w14:paraId="4DDB54A3" w14:textId="286C18C1" w:rsidR="00550CB7" w:rsidRDefault="00550CB7" w:rsidP="00550CB7">
      <w:pPr>
        <w:spacing w:after="0" w:line="240" w:lineRule="auto"/>
        <w:jc w:val="both"/>
        <w:rPr>
          <w:rFonts w:ascii="Times New Roman" w:hAnsi="Times New Roman"/>
          <w:color w:val="231F20"/>
          <w:sz w:val="24"/>
          <w:szCs w:val="24"/>
        </w:rPr>
      </w:pPr>
    </w:p>
    <w:p w14:paraId="55FE6BAB" w14:textId="0C72E05E" w:rsidR="00550CB7" w:rsidRDefault="00550CB7" w:rsidP="00550CB7">
      <w:pPr>
        <w:spacing w:after="0" w:line="240" w:lineRule="auto"/>
        <w:jc w:val="both"/>
        <w:rPr>
          <w:rFonts w:ascii="Times New Roman" w:hAnsi="Times New Roman"/>
          <w:color w:val="231F20"/>
          <w:sz w:val="24"/>
          <w:szCs w:val="24"/>
        </w:rPr>
      </w:pPr>
    </w:p>
    <w:p w14:paraId="2E1623B5" w14:textId="68B38E3E" w:rsidR="00550CB7" w:rsidRDefault="00550CB7" w:rsidP="00550CB7">
      <w:pPr>
        <w:spacing w:after="0" w:line="240" w:lineRule="auto"/>
        <w:jc w:val="both"/>
        <w:rPr>
          <w:rFonts w:ascii="Times New Roman" w:hAnsi="Times New Roman"/>
          <w:color w:val="231F20"/>
          <w:sz w:val="24"/>
          <w:szCs w:val="24"/>
        </w:rPr>
      </w:pPr>
    </w:p>
    <w:p w14:paraId="4B64C60D" w14:textId="5F52BAC6" w:rsidR="00550CB7" w:rsidRDefault="00550CB7" w:rsidP="00550CB7">
      <w:pPr>
        <w:spacing w:after="0" w:line="240" w:lineRule="auto"/>
        <w:jc w:val="both"/>
        <w:rPr>
          <w:rFonts w:ascii="Times New Roman" w:hAnsi="Times New Roman"/>
          <w:color w:val="231F20"/>
          <w:sz w:val="24"/>
          <w:szCs w:val="24"/>
        </w:rPr>
      </w:pPr>
    </w:p>
    <w:p w14:paraId="03D41693" w14:textId="7151B386" w:rsidR="00550CB7" w:rsidRDefault="00550CB7" w:rsidP="00550CB7">
      <w:pPr>
        <w:spacing w:after="0" w:line="240" w:lineRule="auto"/>
        <w:jc w:val="both"/>
        <w:rPr>
          <w:rFonts w:ascii="Times New Roman" w:hAnsi="Times New Roman"/>
          <w:color w:val="231F20"/>
          <w:sz w:val="24"/>
          <w:szCs w:val="24"/>
        </w:rPr>
      </w:pPr>
    </w:p>
    <w:p w14:paraId="66610B2C" w14:textId="3CCC4214" w:rsidR="00550CB7" w:rsidRDefault="00550CB7" w:rsidP="00550CB7">
      <w:pPr>
        <w:spacing w:after="0" w:line="240" w:lineRule="auto"/>
        <w:jc w:val="both"/>
        <w:rPr>
          <w:rFonts w:ascii="Times New Roman" w:hAnsi="Times New Roman"/>
          <w:color w:val="231F20"/>
          <w:sz w:val="24"/>
          <w:szCs w:val="24"/>
        </w:rPr>
      </w:pPr>
    </w:p>
    <w:p w14:paraId="030FDDC0" w14:textId="77777777" w:rsidR="00550CB7" w:rsidRPr="00550CB7" w:rsidRDefault="00550CB7" w:rsidP="00550CB7">
      <w:pPr>
        <w:spacing w:after="0" w:line="240" w:lineRule="auto"/>
        <w:jc w:val="both"/>
        <w:rPr>
          <w:rFonts w:ascii="Times New Roman" w:hAnsi="Times New Roman"/>
          <w:sz w:val="24"/>
          <w:szCs w:val="24"/>
        </w:rPr>
      </w:pPr>
    </w:p>
    <w:p w14:paraId="0C7804CB" w14:textId="10A0D0E4" w:rsidR="009053F0" w:rsidRPr="006A0175" w:rsidRDefault="00D7011F" w:rsidP="00C72D84">
      <w:pPr>
        <w:pStyle w:val="Ttulo1"/>
      </w:pPr>
      <w:bookmarkStart w:id="16" w:name="_Toc470081857"/>
      <w:r>
        <w:lastRenderedPageBreak/>
        <w:t>Bibliografía</w:t>
      </w:r>
      <w:bookmarkEnd w:id="16"/>
    </w:p>
    <w:p w14:paraId="735C94A5" w14:textId="77777777" w:rsidR="005474E6" w:rsidRPr="006A0175" w:rsidRDefault="005474E6" w:rsidP="002E2342">
      <w:pPr>
        <w:spacing w:after="0" w:line="240" w:lineRule="auto"/>
        <w:jc w:val="center"/>
        <w:rPr>
          <w:rFonts w:ascii="Times New Roman" w:hAnsi="Times New Roman" w:cs="Times New Roman"/>
          <w:sz w:val="24"/>
          <w:szCs w:val="24"/>
          <w:u w:val="single"/>
          <w:lang w:val="en-US"/>
        </w:rPr>
      </w:pPr>
    </w:p>
    <w:p w14:paraId="5F0C813C" w14:textId="4EB21060" w:rsidR="00D7011F" w:rsidRDefault="00D7011F" w:rsidP="00FC686F">
      <w:pPr>
        <w:pStyle w:val="Prrafodelista"/>
        <w:numPr>
          <w:ilvl w:val="0"/>
          <w:numId w:val="9"/>
        </w:numPr>
        <w:spacing w:after="0" w:line="240" w:lineRule="auto"/>
        <w:jc w:val="both"/>
        <w:rPr>
          <w:rFonts w:ascii="Times New Roman" w:hAnsi="Times New Roman"/>
          <w:sz w:val="24"/>
          <w:szCs w:val="24"/>
        </w:rPr>
      </w:pPr>
      <w:proofErr w:type="spellStart"/>
      <w:r w:rsidRPr="00D7011F">
        <w:rPr>
          <w:rFonts w:ascii="Times New Roman" w:hAnsi="Times New Roman"/>
          <w:sz w:val="24"/>
          <w:szCs w:val="24"/>
        </w:rPr>
        <w:t>Aghion</w:t>
      </w:r>
      <w:proofErr w:type="spellEnd"/>
      <w:r w:rsidRPr="00D7011F">
        <w:rPr>
          <w:rFonts w:ascii="Times New Roman" w:hAnsi="Times New Roman"/>
          <w:sz w:val="24"/>
          <w:szCs w:val="24"/>
        </w:rPr>
        <w:t>, P. y Howitt, P. 2009. "The Economics of Growth", MIT Press Books, The MIT Press, edition 1, volume 1, number 0262012634, June.</w:t>
      </w:r>
    </w:p>
    <w:p w14:paraId="202B10EA" w14:textId="129AFAB3" w:rsidR="00D20D39" w:rsidRPr="00D20D39" w:rsidRDefault="00D20D39" w:rsidP="00D20D39">
      <w:pPr>
        <w:pStyle w:val="Sinespaciado"/>
        <w:numPr>
          <w:ilvl w:val="0"/>
          <w:numId w:val="9"/>
        </w:numPr>
        <w:jc w:val="both"/>
        <w:rPr>
          <w:rFonts w:ascii="Times New Roman" w:eastAsia="Calibri" w:hAnsi="Times New Roman"/>
          <w:sz w:val="24"/>
          <w:szCs w:val="24"/>
          <w:lang w:val="en-US" w:eastAsia="en-US"/>
        </w:rPr>
      </w:pPr>
      <w:r w:rsidRPr="00D20D39">
        <w:rPr>
          <w:rFonts w:ascii="Times New Roman" w:eastAsia="Calibri" w:hAnsi="Times New Roman"/>
          <w:sz w:val="24"/>
          <w:szCs w:val="24"/>
          <w:lang w:val="en-US" w:eastAsia="en-US"/>
        </w:rPr>
        <w:t xml:space="preserve">Andrews y </w:t>
      </w:r>
      <w:proofErr w:type="spellStart"/>
      <w:r w:rsidRPr="00D20D39">
        <w:rPr>
          <w:rFonts w:ascii="Times New Roman" w:eastAsia="Calibri" w:hAnsi="Times New Roman"/>
          <w:sz w:val="24"/>
          <w:szCs w:val="24"/>
          <w:lang w:val="en-US" w:eastAsia="en-US"/>
        </w:rPr>
        <w:t>Criscuolo</w:t>
      </w:r>
      <w:proofErr w:type="spellEnd"/>
      <w:r>
        <w:rPr>
          <w:rFonts w:ascii="Times New Roman" w:eastAsia="Calibri" w:hAnsi="Times New Roman"/>
          <w:sz w:val="24"/>
          <w:szCs w:val="24"/>
          <w:lang w:val="en-US" w:eastAsia="en-US"/>
        </w:rPr>
        <w:t xml:space="preserve">. </w:t>
      </w:r>
      <w:r w:rsidRPr="00D20D39">
        <w:rPr>
          <w:rFonts w:ascii="Times New Roman" w:eastAsia="Calibri" w:hAnsi="Times New Roman"/>
          <w:sz w:val="24"/>
          <w:szCs w:val="24"/>
          <w:lang w:val="en-US" w:eastAsia="en-US"/>
        </w:rPr>
        <w:t>2013.Knowledge based capital, innovation and resource allocation.</w:t>
      </w:r>
      <w:r>
        <w:rPr>
          <w:rFonts w:ascii="Times New Roman" w:eastAsia="Calibri" w:hAnsi="Times New Roman"/>
          <w:sz w:val="24"/>
          <w:szCs w:val="24"/>
          <w:lang w:val="en-US" w:eastAsia="en-US"/>
        </w:rPr>
        <w:t xml:space="preserve"> OCDE</w:t>
      </w:r>
      <w:r w:rsidRPr="00D20D39">
        <w:rPr>
          <w:rFonts w:ascii="Times New Roman" w:eastAsia="Calibri" w:hAnsi="Times New Roman"/>
          <w:sz w:val="24"/>
          <w:szCs w:val="24"/>
          <w:lang w:val="en-US" w:eastAsia="en-US"/>
        </w:rPr>
        <w:t xml:space="preserve"> economics department working papers no. 1046</w:t>
      </w:r>
    </w:p>
    <w:p w14:paraId="7DC6BB00"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proofErr w:type="spellStart"/>
      <w:r w:rsidRPr="00D7011F">
        <w:rPr>
          <w:rFonts w:ascii="Times New Roman" w:hAnsi="Times New Roman"/>
          <w:sz w:val="24"/>
          <w:szCs w:val="24"/>
        </w:rPr>
        <w:t>Aninat</w:t>
      </w:r>
      <w:proofErr w:type="spellEnd"/>
      <w:r w:rsidRPr="00D7011F">
        <w:rPr>
          <w:rFonts w:ascii="Times New Roman" w:hAnsi="Times New Roman"/>
          <w:sz w:val="24"/>
          <w:szCs w:val="24"/>
        </w:rPr>
        <w:t xml:space="preserve">, C., </w:t>
      </w:r>
      <w:proofErr w:type="spellStart"/>
      <w:r w:rsidRPr="00D7011F">
        <w:rPr>
          <w:rFonts w:ascii="Times New Roman" w:hAnsi="Times New Roman"/>
          <w:sz w:val="24"/>
          <w:szCs w:val="24"/>
        </w:rPr>
        <w:t>Benavente</w:t>
      </w:r>
      <w:proofErr w:type="spellEnd"/>
      <w:r w:rsidRPr="00D7011F">
        <w:rPr>
          <w:rFonts w:ascii="Times New Roman" w:hAnsi="Times New Roman"/>
          <w:sz w:val="24"/>
          <w:szCs w:val="24"/>
        </w:rPr>
        <w:t xml:space="preserve">, J.M., Briones, I., Eyzaguirre, N., </w:t>
      </w:r>
      <w:proofErr w:type="spellStart"/>
      <w:r w:rsidRPr="00D7011F">
        <w:rPr>
          <w:rFonts w:ascii="Times New Roman" w:hAnsi="Times New Roman"/>
          <w:sz w:val="24"/>
          <w:szCs w:val="24"/>
        </w:rPr>
        <w:t>Navia</w:t>
      </w:r>
      <w:proofErr w:type="spellEnd"/>
      <w:r w:rsidRPr="00D7011F">
        <w:rPr>
          <w:rFonts w:ascii="Times New Roman" w:hAnsi="Times New Roman"/>
          <w:sz w:val="24"/>
          <w:szCs w:val="24"/>
        </w:rPr>
        <w:t xml:space="preserve">, P. y </w:t>
      </w:r>
      <w:proofErr w:type="spellStart"/>
      <w:r w:rsidRPr="00D7011F">
        <w:rPr>
          <w:rFonts w:ascii="Times New Roman" w:hAnsi="Times New Roman"/>
          <w:sz w:val="24"/>
          <w:szCs w:val="24"/>
        </w:rPr>
        <w:t>Olivari</w:t>
      </w:r>
      <w:proofErr w:type="spellEnd"/>
      <w:r w:rsidRPr="00D7011F">
        <w:rPr>
          <w:rFonts w:ascii="Times New Roman" w:hAnsi="Times New Roman"/>
          <w:sz w:val="24"/>
          <w:szCs w:val="24"/>
        </w:rPr>
        <w:t>, J. 2010. "The Political Economy of Productivity: The Case of Chile", Research Department Publications 4662, Inter-American Development Bank, Research Department.</w:t>
      </w:r>
    </w:p>
    <w:p w14:paraId="4C00F7E5" w14:textId="0C77D39B" w:rsidR="00D7011F" w:rsidRPr="00D7011F" w:rsidRDefault="00D20D39" w:rsidP="00FC686F">
      <w:pPr>
        <w:pStyle w:val="Prrafodelista"/>
        <w:numPr>
          <w:ilvl w:val="0"/>
          <w:numId w:val="9"/>
        </w:numPr>
        <w:spacing w:after="0" w:line="240" w:lineRule="auto"/>
        <w:jc w:val="both"/>
        <w:rPr>
          <w:rFonts w:ascii="Times New Roman" w:hAnsi="Times New Roman"/>
          <w:sz w:val="24"/>
          <w:szCs w:val="24"/>
        </w:rPr>
      </w:pPr>
      <w:proofErr w:type="spellStart"/>
      <w:r>
        <w:rPr>
          <w:rFonts w:ascii="Times New Roman" w:hAnsi="Times New Roman"/>
          <w:sz w:val="24"/>
          <w:szCs w:val="24"/>
        </w:rPr>
        <w:t>Appelt</w:t>
      </w:r>
      <w:proofErr w:type="spellEnd"/>
      <w:r>
        <w:rPr>
          <w:rFonts w:ascii="Times New Roman" w:hAnsi="Times New Roman"/>
          <w:sz w:val="24"/>
          <w:szCs w:val="24"/>
        </w:rPr>
        <w:t>, S. et al. 2016</w:t>
      </w:r>
      <w:r w:rsidR="00D7011F" w:rsidRPr="00D7011F">
        <w:rPr>
          <w:rFonts w:ascii="Times New Roman" w:hAnsi="Times New Roman"/>
          <w:sz w:val="24"/>
          <w:szCs w:val="24"/>
        </w:rPr>
        <w:t>, “R&amp;D Tax Incentives: Evidence on design, incidence and impacts”, OECD Science, Technology and Industry Policy Papers, No. 32, OECD Publishing, Paris.</w:t>
      </w:r>
    </w:p>
    <w:p w14:paraId="5C32E0A2"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lang w:val="es-CL"/>
        </w:rPr>
        <w:t xml:space="preserve">Barro, R.J. y Sala-i-Martin, X. 2009. “Crecimiento Económico”, versión española traducida por </w:t>
      </w:r>
      <w:proofErr w:type="spellStart"/>
      <w:r w:rsidRPr="00D7011F">
        <w:rPr>
          <w:rFonts w:ascii="Times New Roman" w:hAnsi="Times New Roman"/>
          <w:sz w:val="24"/>
          <w:szCs w:val="24"/>
          <w:lang w:val="es-CL"/>
        </w:rPr>
        <w:t>Gotzone</w:t>
      </w:r>
      <w:proofErr w:type="spellEnd"/>
      <w:r w:rsidRPr="00D7011F">
        <w:rPr>
          <w:rFonts w:ascii="Times New Roman" w:hAnsi="Times New Roman"/>
          <w:sz w:val="24"/>
          <w:szCs w:val="24"/>
          <w:lang w:val="es-CL"/>
        </w:rPr>
        <w:t xml:space="preserve"> Pérez </w:t>
      </w:r>
      <w:proofErr w:type="spellStart"/>
      <w:r w:rsidRPr="00D7011F">
        <w:rPr>
          <w:rFonts w:ascii="Times New Roman" w:hAnsi="Times New Roman"/>
          <w:sz w:val="24"/>
          <w:szCs w:val="24"/>
          <w:lang w:val="es-CL"/>
        </w:rPr>
        <w:t>Apilanez</w:t>
      </w:r>
      <w:proofErr w:type="spellEnd"/>
      <w:r w:rsidRPr="00D7011F">
        <w:rPr>
          <w:rFonts w:ascii="Times New Roman" w:hAnsi="Times New Roman"/>
          <w:sz w:val="24"/>
          <w:szCs w:val="24"/>
          <w:lang w:val="es-CL"/>
        </w:rPr>
        <w:t xml:space="preserve">. </w:t>
      </w:r>
      <w:r w:rsidRPr="00D7011F">
        <w:rPr>
          <w:rFonts w:ascii="Times New Roman" w:hAnsi="Times New Roman"/>
          <w:sz w:val="24"/>
          <w:szCs w:val="24"/>
        </w:rPr>
        <w:t xml:space="preserve">Editorial </w:t>
      </w:r>
      <w:proofErr w:type="spellStart"/>
      <w:r w:rsidRPr="00D7011F">
        <w:rPr>
          <w:rFonts w:ascii="Times New Roman" w:hAnsi="Times New Roman"/>
          <w:sz w:val="24"/>
          <w:szCs w:val="24"/>
        </w:rPr>
        <w:t>Reverté</w:t>
      </w:r>
      <w:proofErr w:type="spellEnd"/>
      <w:r w:rsidRPr="00D7011F">
        <w:rPr>
          <w:rFonts w:ascii="Times New Roman" w:hAnsi="Times New Roman"/>
          <w:sz w:val="24"/>
          <w:szCs w:val="24"/>
        </w:rPr>
        <w:t>.</w:t>
      </w:r>
    </w:p>
    <w:p w14:paraId="26E09BE4" w14:textId="77777777" w:rsidR="00D7011F" w:rsidRPr="00D7011F" w:rsidRDefault="00D7011F" w:rsidP="00FC686F">
      <w:pPr>
        <w:pStyle w:val="Prrafodelista"/>
        <w:numPr>
          <w:ilvl w:val="0"/>
          <w:numId w:val="9"/>
        </w:numPr>
        <w:jc w:val="both"/>
        <w:rPr>
          <w:rFonts w:ascii="Times New Roman" w:hAnsi="Times New Roman"/>
          <w:sz w:val="24"/>
          <w:szCs w:val="24"/>
          <w:lang w:val="es-CL"/>
        </w:rPr>
      </w:pPr>
      <w:r w:rsidRPr="00D7011F">
        <w:rPr>
          <w:rFonts w:ascii="Times New Roman" w:hAnsi="Times New Roman"/>
          <w:sz w:val="24"/>
          <w:szCs w:val="24"/>
          <w:lang w:val="es-CL"/>
        </w:rPr>
        <w:t xml:space="preserve">Benavente, J.M., Bravo, C. y González A. 2013. </w:t>
      </w:r>
      <w:r w:rsidRPr="00D7011F">
        <w:rPr>
          <w:rFonts w:ascii="Times New Roman" w:hAnsi="Times New Roman"/>
          <w:sz w:val="24"/>
          <w:szCs w:val="24"/>
        </w:rPr>
        <w:t xml:space="preserve">Innovation, exports and productivity: learning and self-selection in Chile. </w:t>
      </w:r>
      <w:r w:rsidRPr="00D7011F">
        <w:rPr>
          <w:rFonts w:ascii="Times New Roman" w:hAnsi="Times New Roman"/>
          <w:sz w:val="24"/>
          <w:szCs w:val="24"/>
          <w:lang w:val="es-CL"/>
        </w:rPr>
        <w:t>Facultad de Economía y Negocios, Universidad de Chile. Serie de documentos de trabajo 371, junio 2013.</w:t>
      </w:r>
    </w:p>
    <w:p w14:paraId="11C94908" w14:textId="77777777" w:rsidR="00D7011F" w:rsidRPr="00D7011F" w:rsidRDefault="00D7011F" w:rsidP="00FC686F">
      <w:pPr>
        <w:pStyle w:val="Prrafodelista"/>
        <w:numPr>
          <w:ilvl w:val="0"/>
          <w:numId w:val="9"/>
        </w:numPr>
        <w:jc w:val="both"/>
        <w:rPr>
          <w:rFonts w:ascii="Times New Roman" w:hAnsi="Times New Roman"/>
          <w:sz w:val="24"/>
          <w:szCs w:val="24"/>
        </w:rPr>
      </w:pPr>
      <w:r w:rsidRPr="00D7011F">
        <w:rPr>
          <w:rFonts w:ascii="Times New Roman" w:hAnsi="Times New Roman"/>
          <w:sz w:val="24"/>
          <w:szCs w:val="24"/>
          <w:lang w:val="es-CL"/>
        </w:rPr>
        <w:t xml:space="preserve">Bravo, C. y García, A. 2011. </w:t>
      </w:r>
      <w:r w:rsidRPr="00D7011F">
        <w:rPr>
          <w:rFonts w:ascii="Times New Roman" w:hAnsi="Times New Roman"/>
          <w:sz w:val="24"/>
          <w:szCs w:val="24"/>
        </w:rPr>
        <w:t xml:space="preserve">R&amp;D and Productivity: A Two Way </w:t>
      </w:r>
      <w:proofErr w:type="gramStart"/>
      <w:r w:rsidRPr="00D7011F">
        <w:rPr>
          <w:rFonts w:ascii="Times New Roman" w:hAnsi="Times New Roman"/>
          <w:sz w:val="24"/>
          <w:szCs w:val="24"/>
        </w:rPr>
        <w:t>Avenue?.</w:t>
      </w:r>
      <w:proofErr w:type="gramEnd"/>
      <w:r w:rsidRPr="00D7011F">
        <w:rPr>
          <w:rFonts w:ascii="Times New Roman" w:hAnsi="Times New Roman"/>
          <w:sz w:val="24"/>
          <w:szCs w:val="24"/>
        </w:rPr>
        <w:t xml:space="preserve"> World Development, Elsevier, vol. 39(7), </w:t>
      </w:r>
      <w:proofErr w:type="spellStart"/>
      <w:r w:rsidRPr="00D7011F">
        <w:rPr>
          <w:rFonts w:ascii="Times New Roman" w:hAnsi="Times New Roman"/>
          <w:sz w:val="24"/>
          <w:szCs w:val="24"/>
        </w:rPr>
        <w:t>pág</w:t>
      </w:r>
      <w:proofErr w:type="spellEnd"/>
      <w:r w:rsidRPr="00D7011F">
        <w:rPr>
          <w:rFonts w:ascii="Times New Roman" w:hAnsi="Times New Roman"/>
          <w:sz w:val="24"/>
          <w:szCs w:val="24"/>
        </w:rPr>
        <w:t xml:space="preserve"> 1090-1107, </w:t>
      </w:r>
      <w:proofErr w:type="spellStart"/>
      <w:r w:rsidRPr="00D7011F">
        <w:rPr>
          <w:rFonts w:ascii="Times New Roman" w:hAnsi="Times New Roman"/>
          <w:sz w:val="24"/>
          <w:szCs w:val="24"/>
        </w:rPr>
        <w:t>julio</w:t>
      </w:r>
      <w:proofErr w:type="spellEnd"/>
      <w:r w:rsidRPr="00D7011F">
        <w:rPr>
          <w:rFonts w:ascii="Times New Roman" w:hAnsi="Times New Roman"/>
          <w:sz w:val="24"/>
          <w:szCs w:val="24"/>
        </w:rPr>
        <w:t>.</w:t>
      </w:r>
    </w:p>
    <w:p w14:paraId="72036B28" w14:textId="77777777" w:rsidR="00D7011F" w:rsidRPr="00D7011F" w:rsidRDefault="00D7011F" w:rsidP="00FC686F">
      <w:pPr>
        <w:pStyle w:val="Prrafodelista"/>
        <w:numPr>
          <w:ilvl w:val="0"/>
          <w:numId w:val="9"/>
        </w:numPr>
        <w:jc w:val="both"/>
        <w:rPr>
          <w:rFonts w:ascii="Times New Roman" w:hAnsi="Times New Roman"/>
          <w:sz w:val="24"/>
          <w:szCs w:val="24"/>
        </w:rPr>
      </w:pPr>
      <w:r w:rsidRPr="00D7011F">
        <w:rPr>
          <w:rFonts w:ascii="Times New Roman" w:hAnsi="Times New Roman"/>
          <w:sz w:val="24"/>
          <w:szCs w:val="24"/>
        </w:rPr>
        <w:t>Caballero, Ricardo J. 2007. "Specificity and the Macroeconomics of Restructuring," MIT Press Books, The MIT Press, edition 1, volume 1, number 0262033623, June.</w:t>
      </w:r>
    </w:p>
    <w:p w14:paraId="0832C0AA"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r w:rsidRPr="00D7011F">
        <w:rPr>
          <w:rFonts w:ascii="Times New Roman" w:hAnsi="Times New Roman"/>
          <w:sz w:val="24"/>
          <w:szCs w:val="24"/>
          <w:lang w:val="es-CL"/>
        </w:rPr>
        <w:t>CEPAL, Comisión Económica para América Latina y el Caribe. 2012. “Cambio estructural para la igualdad: una visión integrada del desarrollo”, LC/G.2524 (SES.34/3). Trigésimo cuarto período de sesiones de la CEPAL, San Salvador 27-31 de agosto.</w:t>
      </w:r>
    </w:p>
    <w:p w14:paraId="1E15F939" w14:textId="5EA0415F"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r w:rsidRPr="00D7011F">
        <w:rPr>
          <w:rFonts w:ascii="Times New Roman" w:hAnsi="Times New Roman"/>
          <w:sz w:val="24"/>
          <w:szCs w:val="24"/>
          <w:lang w:val="es-CL"/>
        </w:rPr>
        <w:t xml:space="preserve">Consejo Nacional de Innovación </w:t>
      </w:r>
      <w:r w:rsidR="00D20D39">
        <w:rPr>
          <w:rFonts w:ascii="Times New Roman" w:hAnsi="Times New Roman"/>
          <w:sz w:val="24"/>
          <w:szCs w:val="24"/>
          <w:lang w:val="es-CL"/>
        </w:rPr>
        <w:t>.2007</w:t>
      </w:r>
      <w:r w:rsidRPr="00D7011F">
        <w:rPr>
          <w:rFonts w:ascii="Times New Roman" w:hAnsi="Times New Roman"/>
          <w:sz w:val="24"/>
          <w:szCs w:val="24"/>
          <w:lang w:val="es-CL"/>
        </w:rPr>
        <w:t xml:space="preserve">. “Hacia una Estrategia Nacional de Innovación para la Competitividad”, Volumen I. </w:t>
      </w:r>
    </w:p>
    <w:p w14:paraId="4C06D3C7"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r w:rsidRPr="00D7011F">
        <w:rPr>
          <w:rFonts w:ascii="Times New Roman" w:hAnsi="Times New Roman"/>
          <w:sz w:val="24"/>
          <w:szCs w:val="24"/>
          <w:lang w:val="es-CL"/>
        </w:rPr>
        <w:t>CORFO-UAI. Boletín Anual Evolución de la PTF en Chile. 2014</w:t>
      </w:r>
    </w:p>
    <w:p w14:paraId="3CF74B7D" w14:textId="7CBA5039" w:rsidR="00D7011F" w:rsidRPr="00D7011F" w:rsidRDefault="00D20D39" w:rsidP="00FC686F">
      <w:pPr>
        <w:pStyle w:val="Prrafodelista"/>
        <w:numPr>
          <w:ilvl w:val="0"/>
          <w:numId w:val="9"/>
        </w:numPr>
        <w:spacing w:after="0" w:line="240" w:lineRule="auto"/>
        <w:jc w:val="both"/>
        <w:rPr>
          <w:rFonts w:ascii="Times New Roman" w:hAnsi="Times New Roman"/>
          <w:sz w:val="24"/>
          <w:szCs w:val="24"/>
          <w:lang w:val="es-CL"/>
        </w:rPr>
      </w:pPr>
      <w:proofErr w:type="spellStart"/>
      <w:r>
        <w:rPr>
          <w:rFonts w:ascii="Times New Roman" w:hAnsi="Times New Roman"/>
          <w:sz w:val="24"/>
          <w:szCs w:val="24"/>
          <w:lang w:val="es-CL"/>
        </w:rPr>
        <w:t>Crespi</w:t>
      </w:r>
      <w:proofErr w:type="spellEnd"/>
      <w:r>
        <w:rPr>
          <w:rFonts w:ascii="Times New Roman" w:hAnsi="Times New Roman"/>
          <w:sz w:val="24"/>
          <w:szCs w:val="24"/>
          <w:lang w:val="es-CL"/>
        </w:rPr>
        <w:t xml:space="preserve">, G. A., y </w:t>
      </w:r>
      <w:proofErr w:type="spellStart"/>
      <w:r>
        <w:rPr>
          <w:rFonts w:ascii="Times New Roman" w:hAnsi="Times New Roman"/>
          <w:sz w:val="24"/>
          <w:szCs w:val="24"/>
          <w:lang w:val="es-CL"/>
        </w:rPr>
        <w:t>Maffioli</w:t>
      </w:r>
      <w:proofErr w:type="spellEnd"/>
      <w:r>
        <w:rPr>
          <w:rFonts w:ascii="Times New Roman" w:hAnsi="Times New Roman"/>
          <w:sz w:val="24"/>
          <w:szCs w:val="24"/>
          <w:lang w:val="es-CL"/>
        </w:rPr>
        <w:t>, A. 2014</w:t>
      </w:r>
      <w:r w:rsidR="00D7011F" w:rsidRPr="00D7011F">
        <w:rPr>
          <w:rFonts w:ascii="Times New Roman" w:hAnsi="Times New Roman"/>
          <w:sz w:val="24"/>
          <w:szCs w:val="24"/>
          <w:lang w:val="es-CL"/>
        </w:rPr>
        <w:t xml:space="preserve">. </w:t>
      </w:r>
      <w:r w:rsidR="00D7011F" w:rsidRPr="00EF28FD">
        <w:rPr>
          <w:rFonts w:ascii="Times New Roman" w:hAnsi="Times New Roman"/>
          <w:sz w:val="24"/>
          <w:szCs w:val="24"/>
          <w:lang w:val="fr-FR"/>
        </w:rPr>
        <w:t xml:space="preserve">Design and Evaluation of Fiscal Incentives for Business Innovation in Latin America: Lessons Learned After 20 years of Experimentation, In Science, Technology and Innovation Policies for Development (pp. 225-253). </w:t>
      </w:r>
      <w:proofErr w:type="spellStart"/>
      <w:r w:rsidR="00D7011F" w:rsidRPr="00D7011F">
        <w:rPr>
          <w:rFonts w:ascii="Times New Roman" w:hAnsi="Times New Roman"/>
          <w:sz w:val="24"/>
          <w:szCs w:val="24"/>
          <w:lang w:val="es-CL"/>
        </w:rPr>
        <w:t>Springer</w:t>
      </w:r>
      <w:proofErr w:type="spellEnd"/>
      <w:r w:rsidR="00D7011F" w:rsidRPr="00D7011F">
        <w:rPr>
          <w:rFonts w:ascii="Times New Roman" w:hAnsi="Times New Roman"/>
          <w:sz w:val="24"/>
          <w:szCs w:val="24"/>
          <w:lang w:val="es-CL"/>
        </w:rPr>
        <w:t xml:space="preserve"> International Publishing.</w:t>
      </w:r>
    </w:p>
    <w:p w14:paraId="7617DE36"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proofErr w:type="spellStart"/>
      <w:r w:rsidRPr="00D7011F">
        <w:rPr>
          <w:rFonts w:ascii="Times New Roman" w:hAnsi="Times New Roman"/>
          <w:sz w:val="24"/>
          <w:szCs w:val="24"/>
          <w:lang w:val="es-CL"/>
        </w:rPr>
        <w:t>Crespi</w:t>
      </w:r>
      <w:proofErr w:type="spellEnd"/>
      <w:r w:rsidRPr="00D7011F">
        <w:rPr>
          <w:rFonts w:ascii="Times New Roman" w:hAnsi="Times New Roman"/>
          <w:sz w:val="24"/>
          <w:szCs w:val="24"/>
          <w:lang w:val="es-CL"/>
        </w:rPr>
        <w:t xml:space="preserve">, G. y </w:t>
      </w:r>
      <w:proofErr w:type="spellStart"/>
      <w:r w:rsidRPr="00D7011F">
        <w:rPr>
          <w:rFonts w:ascii="Times New Roman" w:hAnsi="Times New Roman"/>
          <w:sz w:val="24"/>
          <w:szCs w:val="24"/>
          <w:lang w:val="es-CL"/>
        </w:rPr>
        <w:t>Zuñiga</w:t>
      </w:r>
      <w:proofErr w:type="spellEnd"/>
      <w:r w:rsidRPr="00D7011F">
        <w:rPr>
          <w:rFonts w:ascii="Times New Roman" w:hAnsi="Times New Roman"/>
          <w:sz w:val="24"/>
          <w:szCs w:val="24"/>
          <w:lang w:val="es-CL"/>
        </w:rPr>
        <w:t xml:space="preserve">, P. 2012. </w:t>
      </w:r>
      <w:r w:rsidRPr="00D7011F">
        <w:rPr>
          <w:rFonts w:ascii="Times New Roman" w:hAnsi="Times New Roman"/>
          <w:sz w:val="24"/>
          <w:szCs w:val="24"/>
        </w:rPr>
        <w:t>"Innovation and Productivity: Evidence from Six Latin American Countries," World Development, Elsevier, vol. 40(2), pages 273-290.</w:t>
      </w:r>
    </w:p>
    <w:p w14:paraId="0C9276A9" w14:textId="1D60420F"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r w:rsidRPr="00D7011F">
        <w:rPr>
          <w:rFonts w:ascii="Times New Roman" w:hAnsi="Times New Roman"/>
          <w:sz w:val="24"/>
          <w:szCs w:val="24"/>
          <w:lang w:val="es-CL"/>
        </w:rPr>
        <w:t xml:space="preserve">David, P. </w:t>
      </w:r>
      <w:r w:rsidR="00D20D39">
        <w:rPr>
          <w:rFonts w:ascii="Times New Roman" w:hAnsi="Times New Roman"/>
          <w:sz w:val="24"/>
          <w:szCs w:val="24"/>
          <w:lang w:val="es-CL"/>
        </w:rPr>
        <w:t xml:space="preserve">A., Hall, B. H. y </w:t>
      </w:r>
      <w:proofErr w:type="spellStart"/>
      <w:r w:rsidR="00D20D39">
        <w:rPr>
          <w:rFonts w:ascii="Times New Roman" w:hAnsi="Times New Roman"/>
          <w:sz w:val="24"/>
          <w:szCs w:val="24"/>
          <w:lang w:val="es-CL"/>
        </w:rPr>
        <w:t>Toole</w:t>
      </w:r>
      <w:proofErr w:type="spellEnd"/>
      <w:r w:rsidR="00D20D39">
        <w:rPr>
          <w:rFonts w:ascii="Times New Roman" w:hAnsi="Times New Roman"/>
          <w:sz w:val="24"/>
          <w:szCs w:val="24"/>
          <w:lang w:val="es-CL"/>
        </w:rPr>
        <w:t>, A. A. 2000</w:t>
      </w:r>
      <w:r w:rsidRPr="00D7011F">
        <w:rPr>
          <w:rFonts w:ascii="Times New Roman" w:hAnsi="Times New Roman"/>
          <w:sz w:val="24"/>
          <w:szCs w:val="24"/>
          <w:lang w:val="es-CL"/>
        </w:rPr>
        <w:t xml:space="preserve">. </w:t>
      </w:r>
      <w:r w:rsidRPr="001C090B">
        <w:rPr>
          <w:rFonts w:ascii="Times New Roman" w:hAnsi="Times New Roman"/>
          <w:sz w:val="24"/>
          <w:szCs w:val="24"/>
          <w:lang w:val="fr-FR"/>
        </w:rPr>
        <w:t xml:space="preserve">Is public R&amp;D a complement or substitute for private R&amp;D? </w:t>
      </w:r>
      <w:r w:rsidRPr="00D7011F">
        <w:rPr>
          <w:rFonts w:ascii="Times New Roman" w:hAnsi="Times New Roman"/>
          <w:sz w:val="24"/>
          <w:szCs w:val="24"/>
          <w:lang w:val="es-CL"/>
        </w:rPr>
        <w:t xml:space="preserve">A </w:t>
      </w:r>
      <w:proofErr w:type="spellStart"/>
      <w:r w:rsidRPr="00D7011F">
        <w:rPr>
          <w:rFonts w:ascii="Times New Roman" w:hAnsi="Times New Roman"/>
          <w:sz w:val="24"/>
          <w:szCs w:val="24"/>
          <w:lang w:val="es-CL"/>
        </w:rPr>
        <w:t>review</w:t>
      </w:r>
      <w:proofErr w:type="spellEnd"/>
      <w:r w:rsidRPr="00D7011F">
        <w:rPr>
          <w:rFonts w:ascii="Times New Roman" w:hAnsi="Times New Roman"/>
          <w:sz w:val="24"/>
          <w:szCs w:val="24"/>
          <w:lang w:val="es-CL"/>
        </w:rPr>
        <w:t xml:space="preserve"> of </w:t>
      </w:r>
      <w:proofErr w:type="spellStart"/>
      <w:r w:rsidRPr="00D7011F">
        <w:rPr>
          <w:rFonts w:ascii="Times New Roman" w:hAnsi="Times New Roman"/>
          <w:sz w:val="24"/>
          <w:szCs w:val="24"/>
          <w:lang w:val="es-CL"/>
        </w:rPr>
        <w:t>the</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econometric</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evidence</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Research</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Policy</w:t>
      </w:r>
      <w:proofErr w:type="spellEnd"/>
      <w:r w:rsidRPr="00D7011F">
        <w:rPr>
          <w:rFonts w:ascii="Times New Roman" w:hAnsi="Times New Roman"/>
          <w:sz w:val="24"/>
          <w:szCs w:val="24"/>
          <w:lang w:val="es-CL"/>
        </w:rPr>
        <w:t>, 29(4), 497-529.</w:t>
      </w:r>
    </w:p>
    <w:p w14:paraId="69DEEBB0" w14:textId="77777777" w:rsidR="00D7011F" w:rsidRPr="00D7011F" w:rsidRDefault="00D7011F" w:rsidP="00FC686F">
      <w:pPr>
        <w:pStyle w:val="Prrafodelista"/>
        <w:numPr>
          <w:ilvl w:val="0"/>
          <w:numId w:val="9"/>
        </w:numPr>
        <w:jc w:val="both"/>
        <w:rPr>
          <w:rFonts w:ascii="Times New Roman" w:hAnsi="Times New Roman"/>
          <w:sz w:val="24"/>
          <w:szCs w:val="24"/>
        </w:rPr>
      </w:pPr>
      <w:proofErr w:type="spellStart"/>
      <w:r w:rsidRPr="00D7011F">
        <w:rPr>
          <w:rFonts w:ascii="Times New Roman" w:hAnsi="Times New Roman"/>
          <w:sz w:val="24"/>
          <w:szCs w:val="24"/>
          <w:lang w:val="es-CL"/>
        </w:rPr>
        <w:t>Dosi</w:t>
      </w:r>
      <w:proofErr w:type="spellEnd"/>
      <w:r w:rsidRPr="00D7011F">
        <w:rPr>
          <w:rFonts w:ascii="Times New Roman" w:hAnsi="Times New Roman"/>
          <w:sz w:val="24"/>
          <w:szCs w:val="24"/>
          <w:lang w:val="es-CL"/>
        </w:rPr>
        <w:t xml:space="preserve">, Giovanni &amp; </w:t>
      </w:r>
      <w:proofErr w:type="spellStart"/>
      <w:r w:rsidRPr="00D7011F">
        <w:rPr>
          <w:rFonts w:ascii="Times New Roman" w:hAnsi="Times New Roman"/>
          <w:sz w:val="24"/>
          <w:szCs w:val="24"/>
          <w:lang w:val="es-CL"/>
        </w:rPr>
        <w:t>Fagiolo</w:t>
      </w:r>
      <w:proofErr w:type="spellEnd"/>
      <w:r w:rsidRPr="00D7011F">
        <w:rPr>
          <w:rFonts w:ascii="Times New Roman" w:hAnsi="Times New Roman"/>
          <w:sz w:val="24"/>
          <w:szCs w:val="24"/>
          <w:lang w:val="es-CL"/>
        </w:rPr>
        <w:t xml:space="preserve">, Giorgio &amp; </w:t>
      </w:r>
      <w:proofErr w:type="spellStart"/>
      <w:r w:rsidRPr="00D7011F">
        <w:rPr>
          <w:rFonts w:ascii="Times New Roman" w:hAnsi="Times New Roman"/>
          <w:sz w:val="24"/>
          <w:szCs w:val="24"/>
          <w:lang w:val="es-CL"/>
        </w:rPr>
        <w:t>Roventini</w:t>
      </w:r>
      <w:proofErr w:type="spellEnd"/>
      <w:r w:rsidRPr="00D7011F">
        <w:rPr>
          <w:rFonts w:ascii="Times New Roman" w:hAnsi="Times New Roman"/>
          <w:sz w:val="24"/>
          <w:szCs w:val="24"/>
          <w:lang w:val="es-CL"/>
        </w:rPr>
        <w:t xml:space="preserve">, Andrea, 2010. </w:t>
      </w:r>
      <w:r w:rsidRPr="00D7011F">
        <w:rPr>
          <w:rFonts w:ascii="Times New Roman" w:hAnsi="Times New Roman"/>
          <w:sz w:val="24"/>
          <w:szCs w:val="24"/>
        </w:rPr>
        <w:t>"Schumpeter meeting Keynes: A policy-friendly model of endogenous growth and business cycles," Journal of Economic Dynamics and Control, Elsevier, vol. 34(9), pages 1748-1767, September.</w:t>
      </w:r>
    </w:p>
    <w:p w14:paraId="2804A4EB"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proofErr w:type="spellStart"/>
      <w:r w:rsidRPr="00D7011F">
        <w:rPr>
          <w:rFonts w:ascii="Times New Roman" w:hAnsi="Times New Roman"/>
          <w:sz w:val="24"/>
          <w:szCs w:val="24"/>
        </w:rPr>
        <w:t>Ffrench</w:t>
      </w:r>
      <w:proofErr w:type="spellEnd"/>
      <w:r w:rsidRPr="00D7011F">
        <w:rPr>
          <w:rFonts w:ascii="Times New Roman" w:hAnsi="Times New Roman"/>
          <w:sz w:val="24"/>
          <w:szCs w:val="24"/>
        </w:rPr>
        <w:t>-Davis, R. 2014. “</w:t>
      </w:r>
      <w:proofErr w:type="spellStart"/>
      <w:r w:rsidRPr="00D7011F">
        <w:rPr>
          <w:rFonts w:ascii="Times New Roman" w:hAnsi="Times New Roman"/>
          <w:sz w:val="24"/>
          <w:szCs w:val="24"/>
        </w:rPr>
        <w:t>Neoestructuralismo</w:t>
      </w:r>
      <w:proofErr w:type="spellEnd"/>
      <w:r w:rsidRPr="00D7011F">
        <w:rPr>
          <w:rFonts w:ascii="Times New Roman" w:hAnsi="Times New Roman"/>
          <w:sz w:val="24"/>
          <w:szCs w:val="24"/>
        </w:rPr>
        <w:t xml:space="preserve"> y </w:t>
      </w:r>
      <w:proofErr w:type="spellStart"/>
      <w:r w:rsidRPr="00D7011F">
        <w:rPr>
          <w:rFonts w:ascii="Times New Roman" w:hAnsi="Times New Roman"/>
          <w:sz w:val="24"/>
          <w:szCs w:val="24"/>
        </w:rPr>
        <w:t>Macroeconomía</w:t>
      </w:r>
      <w:proofErr w:type="spellEnd"/>
      <w:r w:rsidRPr="00D7011F">
        <w:rPr>
          <w:rFonts w:ascii="Times New Roman" w:hAnsi="Times New Roman"/>
          <w:sz w:val="24"/>
          <w:szCs w:val="24"/>
        </w:rPr>
        <w:t xml:space="preserve"> para el </w:t>
      </w:r>
      <w:proofErr w:type="spellStart"/>
      <w:r w:rsidRPr="00D7011F">
        <w:rPr>
          <w:rFonts w:ascii="Times New Roman" w:hAnsi="Times New Roman"/>
          <w:sz w:val="24"/>
          <w:szCs w:val="24"/>
        </w:rPr>
        <w:t>Desarrollo</w:t>
      </w:r>
      <w:proofErr w:type="spellEnd"/>
      <w:r w:rsidRPr="00D7011F">
        <w:rPr>
          <w:rFonts w:ascii="Times New Roman" w:hAnsi="Times New Roman"/>
          <w:sz w:val="24"/>
          <w:szCs w:val="24"/>
        </w:rPr>
        <w:t>”, Working Papers wp391, University of Chile, Department of Economics.</w:t>
      </w:r>
    </w:p>
    <w:p w14:paraId="55378703" w14:textId="0F6897F9" w:rsidR="00D7011F" w:rsidRPr="00D7011F" w:rsidRDefault="00D20D39" w:rsidP="00FC686F">
      <w:pPr>
        <w:pStyle w:val="Prrafodelista"/>
        <w:numPr>
          <w:ilvl w:val="0"/>
          <w:numId w:val="9"/>
        </w:numPr>
        <w:spacing w:after="0" w:line="240" w:lineRule="auto"/>
        <w:jc w:val="both"/>
        <w:rPr>
          <w:rFonts w:ascii="Times New Roman" w:hAnsi="Times New Roman"/>
          <w:sz w:val="24"/>
          <w:szCs w:val="24"/>
          <w:lang w:val="fr-FR"/>
        </w:rPr>
      </w:pPr>
      <w:proofErr w:type="spellStart"/>
      <w:r w:rsidRPr="00D20D39">
        <w:rPr>
          <w:rFonts w:ascii="Times New Roman" w:hAnsi="Times New Roman"/>
          <w:sz w:val="24"/>
          <w:szCs w:val="24"/>
          <w:lang w:val="es-ES"/>
        </w:rPr>
        <w:lastRenderedPageBreak/>
        <w:t>Gorg</w:t>
      </w:r>
      <w:proofErr w:type="spellEnd"/>
      <w:r w:rsidRPr="00D20D39">
        <w:rPr>
          <w:rFonts w:ascii="Times New Roman" w:hAnsi="Times New Roman"/>
          <w:sz w:val="24"/>
          <w:szCs w:val="24"/>
          <w:lang w:val="es-ES"/>
        </w:rPr>
        <w:t xml:space="preserve">, H. y </w:t>
      </w:r>
      <w:proofErr w:type="spellStart"/>
      <w:r w:rsidRPr="00D20D39">
        <w:rPr>
          <w:rFonts w:ascii="Times New Roman" w:hAnsi="Times New Roman"/>
          <w:sz w:val="24"/>
          <w:szCs w:val="24"/>
          <w:lang w:val="es-ES"/>
        </w:rPr>
        <w:t>Strobl</w:t>
      </w:r>
      <w:proofErr w:type="spellEnd"/>
      <w:r w:rsidRPr="00D20D39">
        <w:rPr>
          <w:rFonts w:ascii="Times New Roman" w:hAnsi="Times New Roman"/>
          <w:sz w:val="24"/>
          <w:szCs w:val="24"/>
          <w:lang w:val="es-ES"/>
        </w:rPr>
        <w:t>, E. 2007.</w:t>
      </w:r>
      <w:r w:rsidR="00D7011F" w:rsidRPr="00D20D39">
        <w:rPr>
          <w:rFonts w:ascii="Times New Roman" w:hAnsi="Times New Roman"/>
          <w:sz w:val="24"/>
          <w:szCs w:val="24"/>
          <w:lang w:val="es-ES"/>
        </w:rPr>
        <w:t xml:space="preserve"> </w:t>
      </w:r>
      <w:r w:rsidR="00D7011F" w:rsidRPr="00D7011F">
        <w:rPr>
          <w:rFonts w:ascii="Times New Roman" w:hAnsi="Times New Roman"/>
          <w:sz w:val="24"/>
          <w:szCs w:val="24"/>
          <w:lang w:val="fr-FR"/>
        </w:rPr>
        <w:t>The effect of R&amp;D subsidies on private R&amp;D. Economica 74(294): 215–234.</w:t>
      </w:r>
    </w:p>
    <w:p w14:paraId="4E436E68"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rPr>
        <w:t xml:space="preserve">Hall, B.H., </w:t>
      </w:r>
      <w:proofErr w:type="spellStart"/>
      <w:r w:rsidRPr="00D7011F">
        <w:rPr>
          <w:rFonts w:ascii="Times New Roman" w:hAnsi="Times New Roman"/>
          <w:sz w:val="24"/>
          <w:szCs w:val="24"/>
        </w:rPr>
        <w:t>Mairesse</w:t>
      </w:r>
      <w:proofErr w:type="spellEnd"/>
      <w:r w:rsidRPr="00D7011F">
        <w:rPr>
          <w:rFonts w:ascii="Times New Roman" w:hAnsi="Times New Roman"/>
          <w:sz w:val="24"/>
          <w:szCs w:val="24"/>
        </w:rPr>
        <w:t xml:space="preserve">, J. y Mohnen, P. 2010. Measuring the returns to R&amp;D. Handbook of the Economics of Innovation, Volume 2, Edited by Bronwyn H. Hall and Nathan Rosenberg, </w:t>
      </w:r>
      <w:proofErr w:type="spellStart"/>
      <w:r w:rsidRPr="00D7011F">
        <w:rPr>
          <w:rFonts w:ascii="Times New Roman" w:hAnsi="Times New Roman"/>
          <w:sz w:val="24"/>
          <w:szCs w:val="24"/>
        </w:rPr>
        <w:t>pág</w:t>
      </w:r>
      <w:proofErr w:type="spellEnd"/>
      <w:r w:rsidRPr="00D7011F">
        <w:rPr>
          <w:rFonts w:ascii="Times New Roman" w:hAnsi="Times New Roman"/>
          <w:sz w:val="24"/>
          <w:szCs w:val="24"/>
        </w:rPr>
        <w:t>. 1033-1088.</w:t>
      </w:r>
    </w:p>
    <w:p w14:paraId="0BEF7057" w14:textId="77777777" w:rsidR="00D7011F" w:rsidRPr="00D7011F" w:rsidRDefault="00D7011F" w:rsidP="00FC686F">
      <w:pPr>
        <w:pStyle w:val="Prrafodelista"/>
        <w:numPr>
          <w:ilvl w:val="0"/>
          <w:numId w:val="9"/>
        </w:numPr>
        <w:spacing w:after="0" w:line="240" w:lineRule="auto"/>
        <w:rPr>
          <w:rFonts w:ascii="Times New Roman" w:hAnsi="Times New Roman"/>
          <w:sz w:val="24"/>
          <w:szCs w:val="24"/>
        </w:rPr>
      </w:pPr>
      <w:proofErr w:type="spellStart"/>
      <w:r w:rsidRPr="00D7011F">
        <w:rPr>
          <w:rFonts w:ascii="Times New Roman" w:hAnsi="Times New Roman"/>
          <w:sz w:val="24"/>
          <w:szCs w:val="24"/>
        </w:rPr>
        <w:t>Hausmann</w:t>
      </w:r>
      <w:proofErr w:type="spellEnd"/>
      <w:r w:rsidRPr="00D7011F">
        <w:rPr>
          <w:rFonts w:ascii="Times New Roman" w:hAnsi="Times New Roman"/>
          <w:sz w:val="24"/>
          <w:szCs w:val="24"/>
        </w:rPr>
        <w:t xml:space="preserve">, R., Hwang J. y </w:t>
      </w:r>
      <w:proofErr w:type="spellStart"/>
      <w:r w:rsidRPr="00D7011F">
        <w:rPr>
          <w:rFonts w:ascii="Times New Roman" w:hAnsi="Times New Roman"/>
          <w:sz w:val="24"/>
          <w:szCs w:val="24"/>
        </w:rPr>
        <w:t>Rodrik</w:t>
      </w:r>
      <w:proofErr w:type="spellEnd"/>
      <w:r w:rsidRPr="00D7011F">
        <w:rPr>
          <w:rFonts w:ascii="Times New Roman" w:hAnsi="Times New Roman"/>
          <w:sz w:val="24"/>
          <w:szCs w:val="24"/>
        </w:rPr>
        <w:t>, D. 2007. "What you export matters," Journal of Economic Growth, Springer, vol. 12(1), pages 1-25, March.</w:t>
      </w:r>
    </w:p>
    <w:p w14:paraId="7BB563F0" w14:textId="50BE244B" w:rsidR="00D7011F" w:rsidRPr="00D20D39" w:rsidRDefault="00D20D39" w:rsidP="00FC686F">
      <w:pPr>
        <w:pStyle w:val="Prrafodelista"/>
        <w:numPr>
          <w:ilvl w:val="0"/>
          <w:numId w:val="9"/>
        </w:numPr>
        <w:spacing w:after="0" w:line="240" w:lineRule="auto"/>
        <w:jc w:val="both"/>
        <w:rPr>
          <w:rFonts w:ascii="Times New Roman" w:hAnsi="Times New Roman"/>
          <w:sz w:val="24"/>
          <w:szCs w:val="24"/>
        </w:rPr>
      </w:pPr>
      <w:proofErr w:type="spellStart"/>
      <w:r w:rsidRPr="00D20D39">
        <w:rPr>
          <w:rFonts w:ascii="Times New Roman" w:hAnsi="Times New Roman"/>
          <w:sz w:val="24"/>
          <w:szCs w:val="24"/>
        </w:rPr>
        <w:t>Lach</w:t>
      </w:r>
      <w:proofErr w:type="spellEnd"/>
      <w:r w:rsidRPr="00D20D39">
        <w:rPr>
          <w:rFonts w:ascii="Times New Roman" w:hAnsi="Times New Roman"/>
          <w:sz w:val="24"/>
          <w:szCs w:val="24"/>
        </w:rPr>
        <w:t xml:space="preserve">, S. </w:t>
      </w:r>
      <w:r w:rsidR="00D7011F" w:rsidRPr="00D20D39">
        <w:rPr>
          <w:rFonts w:ascii="Times New Roman" w:hAnsi="Times New Roman"/>
          <w:sz w:val="24"/>
          <w:szCs w:val="24"/>
        </w:rPr>
        <w:t>2002</w:t>
      </w:r>
      <w:r w:rsidRPr="00D20D39">
        <w:rPr>
          <w:rFonts w:ascii="Times New Roman" w:hAnsi="Times New Roman"/>
          <w:sz w:val="24"/>
          <w:szCs w:val="24"/>
        </w:rPr>
        <w:t>.</w:t>
      </w:r>
      <w:r w:rsidR="00D7011F" w:rsidRPr="00D20D39">
        <w:rPr>
          <w:rFonts w:ascii="Times New Roman" w:hAnsi="Times New Roman"/>
          <w:sz w:val="24"/>
          <w:szCs w:val="24"/>
        </w:rPr>
        <w:t xml:space="preserve"> Do R&amp;D subsidies stimulate or displace private R&amp;D? Evidence from Israel. Journal of Industrial Economics 50(4): 369–390.</w:t>
      </w:r>
    </w:p>
    <w:p w14:paraId="78C7E013" w14:textId="77777777" w:rsidR="00D7011F" w:rsidRPr="00D7011F" w:rsidRDefault="00D7011F" w:rsidP="00FC686F">
      <w:pPr>
        <w:pStyle w:val="Prrafodelista"/>
        <w:numPr>
          <w:ilvl w:val="0"/>
          <w:numId w:val="9"/>
        </w:numPr>
        <w:spacing w:after="0" w:line="240" w:lineRule="auto"/>
        <w:rPr>
          <w:rStyle w:val="Hipervnculo"/>
          <w:rFonts w:ascii="Times New Roman" w:hAnsi="Times New Roman"/>
          <w:color w:val="auto"/>
          <w:sz w:val="24"/>
          <w:szCs w:val="24"/>
          <w:u w:val="none"/>
          <w:lang w:val="es-CL"/>
        </w:rPr>
      </w:pPr>
      <w:r w:rsidRPr="00D20D39">
        <w:rPr>
          <w:rFonts w:ascii="Times New Roman" w:hAnsi="Times New Roman"/>
          <w:sz w:val="24"/>
          <w:szCs w:val="24"/>
        </w:rPr>
        <w:t xml:space="preserve">Ley Chile. LEY NÚM. 20.241. </w:t>
      </w:r>
      <w:hyperlink r:id="rId19" w:history="1">
        <w:r w:rsidRPr="00D20D39">
          <w:rPr>
            <w:rStyle w:val="Hipervnculo"/>
            <w:rFonts w:ascii="Times New Roman" w:hAnsi="Times New Roman"/>
            <w:sz w:val="24"/>
            <w:szCs w:val="24"/>
          </w:rPr>
          <w:t>http://www.leychi</w:t>
        </w:r>
        <w:r w:rsidRPr="00D7011F">
          <w:rPr>
            <w:rStyle w:val="Hipervnculo"/>
            <w:rFonts w:ascii="Times New Roman" w:hAnsi="Times New Roman"/>
            <w:sz w:val="24"/>
            <w:szCs w:val="24"/>
            <w:lang w:val="es-CL"/>
          </w:rPr>
          <w:t>le.cl/</w:t>
        </w:r>
        <w:proofErr w:type="spellStart"/>
        <w:r w:rsidRPr="00D7011F">
          <w:rPr>
            <w:rStyle w:val="Hipervnculo"/>
            <w:rFonts w:ascii="Times New Roman" w:hAnsi="Times New Roman"/>
            <w:sz w:val="24"/>
            <w:szCs w:val="24"/>
            <w:lang w:val="es-CL"/>
          </w:rPr>
          <w:t>Navegar?idNorma</w:t>
        </w:r>
        <w:proofErr w:type="spellEnd"/>
        <w:r w:rsidRPr="00D7011F">
          <w:rPr>
            <w:rStyle w:val="Hipervnculo"/>
            <w:rFonts w:ascii="Times New Roman" w:hAnsi="Times New Roman"/>
            <w:sz w:val="24"/>
            <w:szCs w:val="24"/>
            <w:lang w:val="es-CL"/>
          </w:rPr>
          <w:t>=268637&amp;idVersion=2012-09-07</w:t>
        </w:r>
      </w:hyperlink>
    </w:p>
    <w:p w14:paraId="26EC3CB4" w14:textId="77777777" w:rsidR="00D7011F" w:rsidRPr="00D7011F" w:rsidRDefault="00D7011F" w:rsidP="00FC686F">
      <w:pPr>
        <w:pStyle w:val="Prrafodelista"/>
        <w:numPr>
          <w:ilvl w:val="0"/>
          <w:numId w:val="9"/>
        </w:numPr>
        <w:spacing w:after="0" w:line="240" w:lineRule="auto"/>
        <w:rPr>
          <w:rFonts w:ascii="Times New Roman" w:hAnsi="Times New Roman"/>
          <w:sz w:val="24"/>
          <w:szCs w:val="24"/>
        </w:rPr>
      </w:pPr>
      <w:proofErr w:type="spellStart"/>
      <w:r w:rsidRPr="00D7011F">
        <w:rPr>
          <w:rFonts w:ascii="Times New Roman" w:hAnsi="Times New Roman"/>
          <w:sz w:val="24"/>
          <w:szCs w:val="24"/>
        </w:rPr>
        <w:t>Mazzucato</w:t>
      </w:r>
      <w:proofErr w:type="spellEnd"/>
      <w:r w:rsidRPr="00D7011F">
        <w:rPr>
          <w:rFonts w:ascii="Times New Roman" w:hAnsi="Times New Roman"/>
          <w:sz w:val="24"/>
          <w:szCs w:val="24"/>
        </w:rPr>
        <w:t>, M. 2013. “The Entrepreneurial State – Debunking Public vs. Private Sector Myths”, Anthem Press, ISBN 978-0-857282-52-1.</w:t>
      </w:r>
    </w:p>
    <w:p w14:paraId="4FE18C59" w14:textId="77777777" w:rsidR="00D7011F" w:rsidRPr="00D7011F" w:rsidRDefault="00D7011F" w:rsidP="00FC686F">
      <w:pPr>
        <w:pStyle w:val="Prrafodelista"/>
        <w:numPr>
          <w:ilvl w:val="0"/>
          <w:numId w:val="9"/>
        </w:numPr>
        <w:spacing w:after="0" w:line="240" w:lineRule="auto"/>
        <w:rPr>
          <w:rFonts w:ascii="Times New Roman" w:hAnsi="Times New Roman"/>
          <w:sz w:val="24"/>
          <w:szCs w:val="24"/>
        </w:rPr>
      </w:pPr>
      <w:proofErr w:type="spellStart"/>
      <w:r w:rsidRPr="00D7011F">
        <w:rPr>
          <w:rFonts w:ascii="Times New Roman" w:hAnsi="Times New Roman"/>
          <w:sz w:val="24"/>
          <w:szCs w:val="24"/>
          <w:lang w:val="es-CL"/>
        </w:rPr>
        <w:t>McMillan</w:t>
      </w:r>
      <w:proofErr w:type="spellEnd"/>
      <w:r w:rsidRPr="00D7011F">
        <w:rPr>
          <w:rFonts w:ascii="Times New Roman" w:hAnsi="Times New Roman"/>
          <w:sz w:val="24"/>
          <w:szCs w:val="24"/>
          <w:lang w:val="es-CL"/>
        </w:rPr>
        <w:t xml:space="preserve"> M. y </w:t>
      </w:r>
      <w:proofErr w:type="spellStart"/>
      <w:r w:rsidRPr="00D7011F">
        <w:rPr>
          <w:rFonts w:ascii="Times New Roman" w:hAnsi="Times New Roman"/>
          <w:sz w:val="24"/>
          <w:szCs w:val="24"/>
          <w:lang w:val="es-CL"/>
        </w:rPr>
        <w:t>Rodrik</w:t>
      </w:r>
      <w:proofErr w:type="spellEnd"/>
      <w:r w:rsidRPr="00D7011F">
        <w:rPr>
          <w:rFonts w:ascii="Times New Roman" w:hAnsi="Times New Roman"/>
          <w:sz w:val="24"/>
          <w:szCs w:val="24"/>
          <w:lang w:val="es-CL"/>
        </w:rPr>
        <w:t xml:space="preserve">, D. 2011. </w:t>
      </w:r>
      <w:r w:rsidRPr="00D7011F">
        <w:rPr>
          <w:rFonts w:ascii="Times New Roman" w:hAnsi="Times New Roman"/>
          <w:sz w:val="24"/>
          <w:szCs w:val="24"/>
        </w:rPr>
        <w:t>"Globalization, Structural Change and Productivity Growth," NBER Working Papers 17143, National Bureau of Economic Research, Inc.</w:t>
      </w:r>
    </w:p>
    <w:p w14:paraId="1AD20CB3" w14:textId="77777777" w:rsidR="00D7011F" w:rsidRPr="00D7011F" w:rsidRDefault="00D7011F" w:rsidP="00FC686F">
      <w:pPr>
        <w:pStyle w:val="Prrafodelista"/>
        <w:numPr>
          <w:ilvl w:val="0"/>
          <w:numId w:val="9"/>
        </w:numPr>
        <w:spacing w:after="0" w:line="240" w:lineRule="auto"/>
        <w:rPr>
          <w:rFonts w:ascii="Times New Roman" w:hAnsi="Times New Roman"/>
          <w:sz w:val="24"/>
          <w:szCs w:val="24"/>
          <w:lang w:val="es-CL"/>
        </w:rPr>
      </w:pPr>
      <w:proofErr w:type="spellStart"/>
      <w:r w:rsidRPr="00D7011F">
        <w:rPr>
          <w:rFonts w:ascii="Times New Roman" w:hAnsi="Times New Roman"/>
          <w:sz w:val="24"/>
          <w:szCs w:val="24"/>
          <w:lang w:val="es-CL"/>
        </w:rPr>
        <w:t>Mohnen</w:t>
      </w:r>
      <w:proofErr w:type="spellEnd"/>
      <w:r w:rsidRPr="00D7011F">
        <w:rPr>
          <w:rFonts w:ascii="Times New Roman" w:hAnsi="Times New Roman"/>
          <w:sz w:val="24"/>
          <w:szCs w:val="24"/>
          <w:lang w:val="es-CL"/>
        </w:rPr>
        <w:t xml:space="preserve">, P. &amp; </w:t>
      </w:r>
      <w:proofErr w:type="spellStart"/>
      <w:r w:rsidRPr="00D7011F">
        <w:rPr>
          <w:rFonts w:ascii="Times New Roman" w:hAnsi="Times New Roman"/>
          <w:sz w:val="24"/>
          <w:szCs w:val="24"/>
          <w:lang w:val="es-CL"/>
        </w:rPr>
        <w:t>Olivari</w:t>
      </w:r>
      <w:proofErr w:type="spellEnd"/>
      <w:r w:rsidRPr="00D7011F">
        <w:rPr>
          <w:rFonts w:ascii="Times New Roman" w:hAnsi="Times New Roman"/>
          <w:sz w:val="24"/>
          <w:szCs w:val="24"/>
          <w:lang w:val="es-CL"/>
        </w:rPr>
        <w:t>, J. 2013. “</w:t>
      </w:r>
      <w:proofErr w:type="spellStart"/>
      <w:r w:rsidRPr="00D7011F">
        <w:rPr>
          <w:rFonts w:ascii="Times New Roman" w:hAnsi="Times New Roman"/>
          <w:sz w:val="24"/>
          <w:szCs w:val="24"/>
          <w:lang w:val="es-CL"/>
        </w:rPr>
        <w:t>The</w:t>
      </w:r>
      <w:proofErr w:type="spellEnd"/>
      <w:r w:rsidRPr="00D7011F">
        <w:rPr>
          <w:rFonts w:ascii="Times New Roman" w:hAnsi="Times New Roman"/>
          <w:sz w:val="24"/>
          <w:szCs w:val="24"/>
          <w:lang w:val="es-CL"/>
        </w:rPr>
        <w:t xml:space="preserve"> R&amp;D </w:t>
      </w:r>
      <w:proofErr w:type="spellStart"/>
      <w:r w:rsidRPr="00D7011F">
        <w:rPr>
          <w:rFonts w:ascii="Times New Roman" w:hAnsi="Times New Roman"/>
          <w:sz w:val="24"/>
          <w:szCs w:val="24"/>
          <w:lang w:val="es-CL"/>
        </w:rPr>
        <w:t>Tax</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Credit</w:t>
      </w:r>
      <w:proofErr w:type="spellEnd"/>
      <w:r w:rsidRPr="00D7011F">
        <w:rPr>
          <w:rFonts w:ascii="Times New Roman" w:hAnsi="Times New Roman"/>
          <w:sz w:val="24"/>
          <w:szCs w:val="24"/>
          <w:lang w:val="es-CL"/>
        </w:rPr>
        <w:t xml:space="preserve"> of Chile: A </w:t>
      </w:r>
      <w:proofErr w:type="spellStart"/>
      <w:r w:rsidRPr="00D7011F">
        <w:rPr>
          <w:rFonts w:ascii="Times New Roman" w:hAnsi="Times New Roman"/>
          <w:sz w:val="24"/>
          <w:szCs w:val="24"/>
          <w:lang w:val="es-CL"/>
        </w:rPr>
        <w:t>Baseline</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Study</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United</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Nations</w:t>
      </w:r>
      <w:proofErr w:type="spellEnd"/>
      <w:r w:rsidRPr="00D7011F">
        <w:rPr>
          <w:rFonts w:ascii="Times New Roman" w:hAnsi="Times New Roman"/>
          <w:sz w:val="24"/>
          <w:szCs w:val="24"/>
          <w:lang w:val="es-CL"/>
        </w:rPr>
        <w:t xml:space="preserve"> </w:t>
      </w:r>
      <w:proofErr w:type="spellStart"/>
      <w:r w:rsidRPr="00D7011F">
        <w:rPr>
          <w:rFonts w:ascii="Times New Roman" w:hAnsi="Times New Roman"/>
          <w:sz w:val="24"/>
          <w:szCs w:val="24"/>
          <w:lang w:val="es-CL"/>
        </w:rPr>
        <w:t>University</w:t>
      </w:r>
      <w:proofErr w:type="spellEnd"/>
      <w:r w:rsidRPr="00D7011F">
        <w:rPr>
          <w:rFonts w:ascii="Times New Roman" w:hAnsi="Times New Roman"/>
          <w:sz w:val="24"/>
          <w:szCs w:val="24"/>
          <w:lang w:val="es-CL"/>
        </w:rPr>
        <w:t>, UNU-MERIT, Estudio realizado para el Ministerio de Economía de Chile, División de Innovación.</w:t>
      </w:r>
    </w:p>
    <w:p w14:paraId="073DE4C1"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r w:rsidRPr="00D7011F">
        <w:rPr>
          <w:rFonts w:ascii="Times New Roman" w:hAnsi="Times New Roman"/>
          <w:sz w:val="24"/>
          <w:szCs w:val="24"/>
          <w:lang w:val="es-CL"/>
        </w:rPr>
        <w:t xml:space="preserve">Ocampo, J.A. 2011. “Macroeconomía para el desarrollo: Políticas </w:t>
      </w:r>
      <w:proofErr w:type="spellStart"/>
      <w:r w:rsidRPr="00D7011F">
        <w:rPr>
          <w:rFonts w:ascii="Times New Roman" w:hAnsi="Times New Roman"/>
          <w:sz w:val="24"/>
          <w:szCs w:val="24"/>
          <w:lang w:val="es-CL"/>
        </w:rPr>
        <w:t>anticíclicas</w:t>
      </w:r>
      <w:proofErr w:type="spellEnd"/>
      <w:r w:rsidRPr="00D7011F">
        <w:rPr>
          <w:rFonts w:ascii="Times New Roman" w:hAnsi="Times New Roman"/>
          <w:sz w:val="24"/>
          <w:szCs w:val="24"/>
          <w:lang w:val="es-CL"/>
        </w:rPr>
        <w:t xml:space="preserve"> y transformación productiva”, Revista de la CEPAL, N° 104 (LC/G.2498-P), Santiago de Chile, Comisión Económica para América Latina y el Caribe (CEPAL), agosto.</w:t>
      </w:r>
    </w:p>
    <w:p w14:paraId="6C7D7CA7" w14:textId="77777777" w:rsidR="00D7011F" w:rsidRPr="00D7011F" w:rsidRDefault="00D7011F" w:rsidP="00FC686F">
      <w:pPr>
        <w:pStyle w:val="Prrafodelista"/>
        <w:numPr>
          <w:ilvl w:val="0"/>
          <w:numId w:val="9"/>
        </w:numPr>
        <w:spacing w:after="0" w:line="240" w:lineRule="auto"/>
        <w:jc w:val="both"/>
        <w:rPr>
          <w:rStyle w:val="Hipervnculo"/>
          <w:rFonts w:ascii="Times New Roman" w:hAnsi="Times New Roman"/>
          <w:color w:val="auto"/>
          <w:sz w:val="24"/>
          <w:szCs w:val="24"/>
          <w:u w:val="none"/>
        </w:rPr>
      </w:pPr>
      <w:r w:rsidRPr="00D7011F">
        <w:rPr>
          <w:rFonts w:ascii="Times New Roman" w:hAnsi="Times New Roman"/>
          <w:sz w:val="24"/>
          <w:szCs w:val="24"/>
        </w:rPr>
        <w:t xml:space="preserve">OCDE (2013), OECD Economic Surveys: Chile 2013, OECD Publishing. </w:t>
      </w:r>
      <w:hyperlink r:id="rId20" w:history="1">
        <w:r w:rsidRPr="00D7011F">
          <w:rPr>
            <w:rStyle w:val="Hipervnculo"/>
            <w:rFonts w:ascii="Times New Roman" w:hAnsi="Times New Roman"/>
            <w:sz w:val="24"/>
            <w:szCs w:val="24"/>
          </w:rPr>
          <w:t>http://dx.doi.org/10.1787/eco_surveys-chl-2013-en</w:t>
        </w:r>
      </w:hyperlink>
    </w:p>
    <w:p w14:paraId="252409E1"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rPr>
        <w:t xml:space="preserve">OCDE 2013. ‘Definition, Interpretation and Calculation of the B Index’. Measuring R&amp;D Tax </w:t>
      </w:r>
      <w:proofErr w:type="spellStart"/>
      <w:r w:rsidRPr="00D7011F">
        <w:rPr>
          <w:rFonts w:ascii="Times New Roman" w:hAnsi="Times New Roman"/>
          <w:sz w:val="24"/>
          <w:szCs w:val="24"/>
        </w:rPr>
        <w:t>Incentives.http</w:t>
      </w:r>
      <w:proofErr w:type="spellEnd"/>
      <w:r w:rsidRPr="00D7011F">
        <w:rPr>
          <w:rFonts w:ascii="Times New Roman" w:hAnsi="Times New Roman"/>
          <w:sz w:val="24"/>
          <w:szCs w:val="24"/>
        </w:rPr>
        <w:t>://www.oecd.org/sti/b-index.pdf.</w:t>
      </w:r>
    </w:p>
    <w:p w14:paraId="729BD646"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rPr>
        <w:t>OCDE. 2009. “Innovation in Firms: A Microeconomic Perspective”, Paris, France: ISBN 879-92-64-05620-6.</w:t>
      </w:r>
    </w:p>
    <w:p w14:paraId="5F783DF4" w14:textId="5683532D"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rPr>
        <w:t xml:space="preserve">OECD </w:t>
      </w:r>
      <w:r w:rsidR="00D20D39">
        <w:rPr>
          <w:rFonts w:ascii="Times New Roman" w:hAnsi="Times New Roman"/>
          <w:sz w:val="24"/>
          <w:szCs w:val="24"/>
        </w:rPr>
        <w:t xml:space="preserve">.2014. </w:t>
      </w:r>
      <w:r w:rsidRPr="00D7011F">
        <w:rPr>
          <w:rFonts w:ascii="Times New Roman" w:hAnsi="Times New Roman"/>
          <w:sz w:val="24"/>
          <w:szCs w:val="24"/>
        </w:rPr>
        <w:t>‘Tax incentives for R&amp;D and innovation’, in OECD, OECD Science, Technology and E.</w:t>
      </w:r>
    </w:p>
    <w:p w14:paraId="22EDA3AB"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rPr>
        <w:t>Palma, J.G. 2010. "Why has productivity growth stagnated in most Latin-American countries since the neo-liberal reforms? (Revised 26-07-2011),"Cambridge Working Papers in Economics 1030, Faculty of Economics, University of Cambridge.</w:t>
      </w:r>
    </w:p>
    <w:p w14:paraId="11AC8B6D"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rPr>
      </w:pPr>
      <w:r w:rsidRPr="00D7011F">
        <w:rPr>
          <w:rFonts w:ascii="Times New Roman" w:hAnsi="Times New Roman"/>
          <w:sz w:val="24"/>
          <w:szCs w:val="24"/>
          <w:lang w:val="es-CL"/>
        </w:rPr>
        <w:t xml:space="preserve">Pérez, E., </w:t>
      </w:r>
      <w:proofErr w:type="spellStart"/>
      <w:r w:rsidRPr="00D7011F">
        <w:rPr>
          <w:rFonts w:ascii="Times New Roman" w:hAnsi="Times New Roman"/>
          <w:sz w:val="24"/>
          <w:szCs w:val="24"/>
          <w:lang w:val="es-CL"/>
        </w:rPr>
        <w:t>Titelman</w:t>
      </w:r>
      <w:proofErr w:type="spellEnd"/>
      <w:r w:rsidRPr="00D7011F">
        <w:rPr>
          <w:rFonts w:ascii="Times New Roman" w:hAnsi="Times New Roman"/>
          <w:sz w:val="24"/>
          <w:szCs w:val="24"/>
          <w:lang w:val="es-CL"/>
        </w:rPr>
        <w:t xml:space="preserve">, D. y Carvallo, P. 2014. </w:t>
      </w:r>
      <w:r w:rsidRPr="00D7011F">
        <w:rPr>
          <w:rFonts w:ascii="Times New Roman" w:hAnsi="Times New Roman"/>
          <w:sz w:val="24"/>
          <w:szCs w:val="24"/>
        </w:rPr>
        <w:t xml:space="preserve">"Weak Expansions: A Distinctive Feature of the Business Cycle in Latin America and the Caribbean," World Economic Review, World Economics Association, vol. 2014(3), </w:t>
      </w:r>
      <w:proofErr w:type="spellStart"/>
      <w:r w:rsidRPr="00D7011F">
        <w:rPr>
          <w:rFonts w:ascii="Times New Roman" w:hAnsi="Times New Roman"/>
          <w:sz w:val="24"/>
          <w:szCs w:val="24"/>
        </w:rPr>
        <w:t>pag</w:t>
      </w:r>
      <w:proofErr w:type="spellEnd"/>
      <w:r w:rsidRPr="00D7011F">
        <w:rPr>
          <w:rFonts w:ascii="Times New Roman" w:hAnsi="Times New Roman"/>
          <w:sz w:val="24"/>
          <w:szCs w:val="24"/>
        </w:rPr>
        <w:t xml:space="preserve">. 69, </w:t>
      </w:r>
      <w:proofErr w:type="spellStart"/>
      <w:r w:rsidRPr="00D7011F">
        <w:rPr>
          <w:rFonts w:ascii="Times New Roman" w:hAnsi="Times New Roman"/>
          <w:sz w:val="24"/>
          <w:szCs w:val="24"/>
        </w:rPr>
        <w:t>Febrero</w:t>
      </w:r>
      <w:proofErr w:type="spellEnd"/>
      <w:r w:rsidRPr="00D7011F">
        <w:rPr>
          <w:rFonts w:ascii="Times New Roman" w:hAnsi="Times New Roman"/>
          <w:sz w:val="24"/>
          <w:szCs w:val="24"/>
        </w:rPr>
        <w:t>.</w:t>
      </w:r>
    </w:p>
    <w:p w14:paraId="236D7FD5" w14:textId="77777777" w:rsidR="00D7011F" w:rsidRPr="00D7011F" w:rsidRDefault="00D7011F" w:rsidP="00FC686F">
      <w:pPr>
        <w:pStyle w:val="Prrafodelista"/>
        <w:numPr>
          <w:ilvl w:val="0"/>
          <w:numId w:val="9"/>
        </w:numPr>
        <w:spacing w:after="0" w:line="240" w:lineRule="auto"/>
        <w:jc w:val="both"/>
        <w:rPr>
          <w:rFonts w:ascii="Times New Roman" w:hAnsi="Times New Roman"/>
          <w:sz w:val="24"/>
          <w:szCs w:val="24"/>
          <w:lang w:val="es-CL"/>
        </w:rPr>
      </w:pPr>
      <w:proofErr w:type="spellStart"/>
      <w:r w:rsidRPr="00D7011F">
        <w:rPr>
          <w:rFonts w:ascii="Times New Roman" w:hAnsi="Times New Roman"/>
          <w:sz w:val="24"/>
          <w:szCs w:val="24"/>
          <w:lang w:val="es-CL"/>
        </w:rPr>
        <w:t>Sunkel</w:t>
      </w:r>
      <w:proofErr w:type="spellEnd"/>
      <w:r w:rsidRPr="00D7011F">
        <w:rPr>
          <w:rFonts w:ascii="Times New Roman" w:hAnsi="Times New Roman"/>
          <w:sz w:val="24"/>
          <w:szCs w:val="24"/>
          <w:lang w:val="es-CL"/>
        </w:rPr>
        <w:t xml:space="preserve">, O. </w:t>
      </w:r>
      <w:proofErr w:type="spellStart"/>
      <w:r w:rsidRPr="00D7011F">
        <w:rPr>
          <w:rFonts w:ascii="Times New Roman" w:hAnsi="Times New Roman"/>
          <w:sz w:val="24"/>
          <w:szCs w:val="24"/>
          <w:lang w:val="es-CL"/>
        </w:rPr>
        <w:t>e</w:t>
      </w:r>
      <w:proofErr w:type="spellEnd"/>
      <w:r w:rsidRPr="00D7011F">
        <w:rPr>
          <w:rFonts w:ascii="Times New Roman" w:hAnsi="Times New Roman"/>
          <w:sz w:val="24"/>
          <w:szCs w:val="24"/>
          <w:lang w:val="es-CL"/>
        </w:rPr>
        <w:t xml:space="preserve"> Infante, R. Editores. 2009. “Hacia un desarrollo inclusivo: el caso de Chile”, Editorial CEPAL, OIT, Fundación Chile 21, LC/L.3126.</w:t>
      </w:r>
    </w:p>
    <w:p w14:paraId="37171E42" w14:textId="06D13FAD" w:rsidR="006D22CA" w:rsidRPr="00D20D39" w:rsidRDefault="00D7011F" w:rsidP="000739FE">
      <w:pPr>
        <w:pStyle w:val="Prrafodelista"/>
        <w:numPr>
          <w:ilvl w:val="0"/>
          <w:numId w:val="9"/>
        </w:numPr>
        <w:spacing w:after="160" w:line="259" w:lineRule="auto"/>
        <w:jc w:val="both"/>
        <w:rPr>
          <w:rFonts w:ascii="Times New Roman" w:hAnsi="Times New Roman"/>
          <w:sz w:val="24"/>
          <w:szCs w:val="24"/>
          <w:lang w:val="es-CL"/>
        </w:rPr>
      </w:pPr>
      <w:r w:rsidRPr="00D20D39">
        <w:rPr>
          <w:rFonts w:ascii="Times New Roman" w:hAnsi="Times New Roman"/>
          <w:sz w:val="24"/>
          <w:szCs w:val="24"/>
          <w:lang w:val="es-CL"/>
        </w:rPr>
        <w:t xml:space="preserve">Zúñiga-Vicente, J., Alonso-Borrego, C., </w:t>
      </w:r>
      <w:proofErr w:type="spellStart"/>
      <w:r w:rsidRPr="00D20D39">
        <w:rPr>
          <w:rFonts w:ascii="Times New Roman" w:hAnsi="Times New Roman"/>
          <w:sz w:val="24"/>
          <w:szCs w:val="24"/>
          <w:lang w:val="es-CL"/>
        </w:rPr>
        <w:t>Forcadell</w:t>
      </w:r>
      <w:proofErr w:type="spellEnd"/>
      <w:r w:rsidRPr="00D20D39">
        <w:rPr>
          <w:rFonts w:ascii="Times New Roman" w:hAnsi="Times New Roman"/>
          <w:sz w:val="24"/>
          <w:szCs w:val="24"/>
          <w:lang w:val="es-CL"/>
        </w:rPr>
        <w:t xml:space="preserve">, F. y Galán, J. (2014). </w:t>
      </w:r>
      <w:r w:rsidRPr="00D20D39">
        <w:rPr>
          <w:rFonts w:ascii="Times New Roman" w:hAnsi="Times New Roman"/>
          <w:sz w:val="24"/>
          <w:szCs w:val="24"/>
          <w:lang w:val="fr-FR"/>
        </w:rPr>
        <w:t xml:space="preserve">Assessing the effect of public subsidies on firm R&amp;D investment: A survey. </w:t>
      </w:r>
      <w:proofErr w:type="spellStart"/>
      <w:r w:rsidRPr="00D20D39">
        <w:rPr>
          <w:rFonts w:ascii="Times New Roman" w:hAnsi="Times New Roman"/>
          <w:sz w:val="24"/>
          <w:szCs w:val="24"/>
          <w:lang w:val="es-CL"/>
        </w:rPr>
        <w:t>Journal</w:t>
      </w:r>
      <w:proofErr w:type="spellEnd"/>
      <w:r w:rsidRPr="00D20D39">
        <w:rPr>
          <w:rFonts w:ascii="Times New Roman" w:hAnsi="Times New Roman"/>
          <w:sz w:val="24"/>
          <w:szCs w:val="24"/>
          <w:lang w:val="es-CL"/>
        </w:rPr>
        <w:t xml:space="preserve"> of </w:t>
      </w:r>
      <w:proofErr w:type="spellStart"/>
      <w:r w:rsidRPr="00D20D39">
        <w:rPr>
          <w:rFonts w:ascii="Times New Roman" w:hAnsi="Times New Roman"/>
          <w:sz w:val="24"/>
          <w:szCs w:val="24"/>
          <w:lang w:val="es-CL"/>
        </w:rPr>
        <w:t>Economics</w:t>
      </w:r>
      <w:proofErr w:type="spellEnd"/>
      <w:r w:rsidRPr="00D20D39">
        <w:rPr>
          <w:rFonts w:ascii="Times New Roman" w:hAnsi="Times New Roman"/>
          <w:sz w:val="24"/>
          <w:szCs w:val="24"/>
          <w:lang w:val="es-CL"/>
        </w:rPr>
        <w:t xml:space="preserve"> </w:t>
      </w:r>
      <w:proofErr w:type="spellStart"/>
      <w:r w:rsidRPr="00D20D39">
        <w:rPr>
          <w:rFonts w:ascii="Times New Roman" w:hAnsi="Times New Roman"/>
          <w:sz w:val="24"/>
          <w:szCs w:val="24"/>
          <w:lang w:val="es-CL"/>
        </w:rPr>
        <w:t>Surveys</w:t>
      </w:r>
      <w:proofErr w:type="spellEnd"/>
      <w:r w:rsidRPr="00D20D39">
        <w:rPr>
          <w:rFonts w:ascii="Times New Roman" w:hAnsi="Times New Roman"/>
          <w:sz w:val="24"/>
          <w:szCs w:val="24"/>
          <w:lang w:val="es-CL"/>
        </w:rPr>
        <w:t xml:space="preserve"> Vol.28, No.1, pp. 36-67.</w:t>
      </w:r>
    </w:p>
    <w:p w14:paraId="3F2A5F2D" w14:textId="77777777" w:rsidR="00884C14" w:rsidRPr="006A0175" w:rsidRDefault="00884C14" w:rsidP="00884C14">
      <w:pPr>
        <w:spacing w:after="0" w:line="240" w:lineRule="auto"/>
        <w:jc w:val="both"/>
        <w:rPr>
          <w:rFonts w:ascii="Times New Roman" w:hAnsi="Times New Roman" w:cs="Times New Roman"/>
          <w:sz w:val="24"/>
          <w:szCs w:val="24"/>
          <w:lang w:val="es-CL"/>
        </w:rPr>
      </w:pPr>
    </w:p>
    <w:p w14:paraId="672D5B14" w14:textId="77777777" w:rsidR="00884C14" w:rsidRPr="006A0175" w:rsidRDefault="00884C14" w:rsidP="00884C14">
      <w:pPr>
        <w:spacing w:after="0" w:line="240" w:lineRule="auto"/>
        <w:jc w:val="both"/>
        <w:rPr>
          <w:rFonts w:ascii="Times New Roman" w:hAnsi="Times New Roman" w:cs="Times New Roman"/>
          <w:sz w:val="24"/>
          <w:szCs w:val="24"/>
          <w:lang w:val="es-CL"/>
        </w:rPr>
      </w:pPr>
    </w:p>
    <w:p w14:paraId="32912EE8" w14:textId="77777777" w:rsidR="00884C14" w:rsidRPr="006A0175" w:rsidRDefault="00884C14" w:rsidP="00884C14">
      <w:pPr>
        <w:pStyle w:val="Sinespaciado"/>
        <w:jc w:val="both"/>
        <w:rPr>
          <w:rFonts w:ascii="Times New Roman" w:hAnsi="Times New Roman"/>
          <w:sz w:val="24"/>
          <w:szCs w:val="24"/>
        </w:rPr>
      </w:pPr>
    </w:p>
    <w:p w14:paraId="520C07B9" w14:textId="77777777" w:rsidR="00884C14" w:rsidRPr="006A0175" w:rsidRDefault="00884C14" w:rsidP="00884C14">
      <w:pPr>
        <w:spacing w:after="0" w:line="240" w:lineRule="auto"/>
        <w:jc w:val="both"/>
        <w:rPr>
          <w:rFonts w:ascii="Times New Roman" w:hAnsi="Times New Roman" w:cs="Times New Roman"/>
          <w:sz w:val="24"/>
          <w:szCs w:val="24"/>
          <w:lang w:val="es-CL"/>
        </w:rPr>
      </w:pPr>
    </w:p>
    <w:sectPr w:rsidR="00884C14" w:rsidRPr="006A0175" w:rsidSect="00F71BC6">
      <w:footerReference w:type="default" r:id="rId21"/>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6F83D" w14:textId="77777777" w:rsidR="00C740E5" w:rsidRDefault="00C740E5" w:rsidP="009053F0">
      <w:pPr>
        <w:spacing w:after="0" w:line="240" w:lineRule="auto"/>
      </w:pPr>
      <w:r>
        <w:separator/>
      </w:r>
    </w:p>
  </w:endnote>
  <w:endnote w:type="continuationSeparator" w:id="0">
    <w:p w14:paraId="0A012704" w14:textId="77777777" w:rsidR="00C740E5" w:rsidRDefault="00C740E5" w:rsidP="0090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809829"/>
      <w:docPartObj>
        <w:docPartGallery w:val="Page Numbers (Bottom of Page)"/>
        <w:docPartUnique/>
      </w:docPartObj>
    </w:sdtPr>
    <w:sdtEndPr>
      <w:rPr>
        <w:rFonts w:ascii="Times New Roman" w:hAnsi="Times New Roman" w:cs="Times New Roman"/>
      </w:rPr>
    </w:sdtEndPr>
    <w:sdtContent>
      <w:p w14:paraId="001BD28C" w14:textId="22C13C12" w:rsidR="00CE39D4" w:rsidRPr="00550CB7" w:rsidRDefault="00CE39D4">
        <w:pPr>
          <w:pStyle w:val="Piedepgina"/>
          <w:jc w:val="right"/>
          <w:rPr>
            <w:rFonts w:ascii="Times New Roman" w:hAnsi="Times New Roman" w:cs="Times New Roman"/>
          </w:rPr>
        </w:pPr>
        <w:r w:rsidRPr="00550CB7">
          <w:rPr>
            <w:rFonts w:ascii="Times New Roman" w:hAnsi="Times New Roman" w:cs="Times New Roman"/>
          </w:rPr>
          <w:fldChar w:fldCharType="begin"/>
        </w:r>
        <w:r w:rsidRPr="00550CB7">
          <w:rPr>
            <w:rFonts w:ascii="Times New Roman" w:hAnsi="Times New Roman" w:cs="Times New Roman"/>
          </w:rPr>
          <w:instrText>PAGE   \* MERGEFORMAT</w:instrText>
        </w:r>
        <w:r w:rsidRPr="00550CB7">
          <w:rPr>
            <w:rFonts w:ascii="Times New Roman" w:hAnsi="Times New Roman" w:cs="Times New Roman"/>
          </w:rPr>
          <w:fldChar w:fldCharType="separate"/>
        </w:r>
        <w:r w:rsidR="001528EB">
          <w:rPr>
            <w:rFonts w:ascii="Times New Roman" w:hAnsi="Times New Roman" w:cs="Times New Roman"/>
            <w:noProof/>
          </w:rPr>
          <w:t>26</w:t>
        </w:r>
        <w:r w:rsidRPr="00550CB7">
          <w:rPr>
            <w:rFonts w:ascii="Times New Roman" w:hAnsi="Times New Roman" w:cs="Times New Roman"/>
          </w:rPr>
          <w:fldChar w:fldCharType="end"/>
        </w:r>
      </w:p>
    </w:sdtContent>
  </w:sdt>
  <w:p w14:paraId="174C5EEA" w14:textId="77777777" w:rsidR="00CE39D4" w:rsidRDefault="00CE39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F607" w14:textId="77777777" w:rsidR="00C740E5" w:rsidRDefault="00C740E5" w:rsidP="009053F0">
      <w:pPr>
        <w:spacing w:after="0" w:line="240" w:lineRule="auto"/>
      </w:pPr>
      <w:r>
        <w:separator/>
      </w:r>
    </w:p>
  </w:footnote>
  <w:footnote w:type="continuationSeparator" w:id="0">
    <w:p w14:paraId="23D73C93" w14:textId="77777777" w:rsidR="00C740E5" w:rsidRDefault="00C740E5" w:rsidP="009053F0">
      <w:pPr>
        <w:spacing w:after="0" w:line="240" w:lineRule="auto"/>
      </w:pPr>
      <w:r>
        <w:continuationSeparator/>
      </w:r>
    </w:p>
  </w:footnote>
  <w:footnote w:id="1">
    <w:p w14:paraId="07771DF0" w14:textId="77777777" w:rsidR="00CE39D4" w:rsidRPr="001228C8" w:rsidRDefault="00CE39D4" w:rsidP="009A4A23">
      <w:pPr>
        <w:spacing w:after="0"/>
        <w:jc w:val="both"/>
        <w:rPr>
          <w:rFonts w:ascii="Times New Roman" w:hAnsi="Times New Roman" w:cs="Times New Roman"/>
          <w:sz w:val="20"/>
          <w:szCs w:val="20"/>
          <w:lang w:val="es-CL"/>
        </w:rPr>
      </w:pPr>
      <w:r w:rsidRPr="001228C8">
        <w:rPr>
          <w:rStyle w:val="Refdenotaalpie"/>
          <w:rFonts w:ascii="Times New Roman" w:hAnsi="Times New Roman" w:cs="Times New Roman"/>
          <w:sz w:val="20"/>
          <w:szCs w:val="20"/>
        </w:rPr>
        <w:footnoteRef/>
      </w:r>
      <w:r w:rsidRPr="001228C8">
        <w:rPr>
          <w:rFonts w:ascii="Times New Roman" w:hAnsi="Times New Roman" w:cs="Times New Roman"/>
          <w:sz w:val="20"/>
          <w:szCs w:val="20"/>
          <w:lang w:val="es-CL"/>
        </w:rPr>
        <w:t xml:space="preserve"> La convergencia es condicional cuando los niveles correspondientes al estado estacionario de capital y PIB per cápita dependen de la tasa de ahorro, de la tasa de crecimiento demográfico, de la forma de la tecnología vigente, la política económica, el stock de capital humano entre otras variables. En otras palabras, características estructurales que pueden diferir entre las distintas economías. Estas características y no la dotación inicial (ingreso nacional inicial) determinarían el nivel de PIB per cápita de largo plazo (Barro y Sala-i-Martin, 2009).</w:t>
      </w:r>
    </w:p>
  </w:footnote>
  <w:footnote w:id="2">
    <w:p w14:paraId="7FC42952" w14:textId="77777777" w:rsidR="00CE39D4" w:rsidRPr="005474E6" w:rsidRDefault="00CE39D4" w:rsidP="002E2342">
      <w:pPr>
        <w:pStyle w:val="Textonotapie"/>
        <w:jc w:val="both"/>
      </w:pPr>
      <w:r w:rsidRPr="001228C8">
        <w:rPr>
          <w:rStyle w:val="Refdenotaalpie"/>
          <w:rFonts w:ascii="Times New Roman" w:hAnsi="Times New Roman" w:cs="Times New Roman"/>
        </w:rPr>
        <w:footnoteRef/>
      </w:r>
      <w:r w:rsidRPr="001228C8">
        <w:rPr>
          <w:rFonts w:ascii="Times New Roman" w:hAnsi="Times New Roman" w:cs="Times New Roman"/>
        </w:rPr>
        <w:t xml:space="preserve"> Crecimiento económico sostenido que cierra la brecha entre el PIB efectivo y el potencial, dónde además crecen en forma conjunta productividad y empleo.</w:t>
      </w:r>
    </w:p>
  </w:footnote>
  <w:footnote w:id="3">
    <w:p w14:paraId="2AEFC130" w14:textId="77777777" w:rsidR="00CE39D4" w:rsidRPr="00111B9F" w:rsidRDefault="00CE39D4" w:rsidP="00C4577F">
      <w:pPr>
        <w:pStyle w:val="Textonotapie"/>
        <w:jc w:val="both"/>
        <w:rPr>
          <w:rFonts w:ascii="Times New Roman" w:hAnsi="Times New Roman" w:cs="Times New Roman"/>
        </w:rPr>
      </w:pPr>
      <w:r w:rsidRPr="00111B9F">
        <w:rPr>
          <w:rStyle w:val="Refdenotaalpie"/>
          <w:rFonts w:ascii="Times New Roman" w:hAnsi="Times New Roman" w:cs="Times New Roman"/>
        </w:rPr>
        <w:footnoteRef/>
      </w:r>
      <w:r w:rsidRPr="00111B9F">
        <w:rPr>
          <w:rFonts w:ascii="Times New Roman" w:hAnsi="Times New Roman" w:cs="Times New Roman"/>
        </w:rPr>
        <w:t xml:space="preserve"> En el caso de Chile, para el año 2014 un 35% del empleo formal se concentró en empresas grandes (200 o más personas). Fuente: Nueva Encuesta Nacional de Empleo, INE.</w:t>
      </w:r>
    </w:p>
  </w:footnote>
  <w:footnote w:id="4">
    <w:p w14:paraId="449E0186" w14:textId="66E23A1C" w:rsidR="00CE39D4" w:rsidRPr="001C090B" w:rsidRDefault="00CE39D4" w:rsidP="000947E4">
      <w:pPr>
        <w:pStyle w:val="Textonotapie"/>
        <w:rPr>
          <w:rFonts w:ascii="Times New Roman" w:hAnsi="Times New Roman" w:cs="Times New Roman"/>
          <w:lang w:val="es-CL"/>
        </w:rPr>
      </w:pPr>
      <w:r w:rsidRPr="001C090B">
        <w:rPr>
          <w:rStyle w:val="Refdenotaalpie"/>
          <w:rFonts w:ascii="Times New Roman" w:hAnsi="Times New Roman" w:cs="Times New Roman"/>
        </w:rPr>
        <w:footnoteRef/>
      </w:r>
      <w:r w:rsidRPr="001C090B">
        <w:rPr>
          <w:rFonts w:ascii="Times New Roman" w:hAnsi="Times New Roman" w:cs="Times New Roman"/>
        </w:rPr>
        <w:t xml:space="preserve"> </w:t>
      </w:r>
      <w:r w:rsidRPr="001C090B">
        <w:rPr>
          <w:rFonts w:ascii="Times New Roman" w:hAnsi="Times New Roman" w:cs="Times New Roman"/>
          <w:lang w:val="es-CL"/>
        </w:rPr>
        <w:t>Fuente: Banco Central de Chile. A precios del año anterior encadenado, referencia 2008,</w:t>
      </w:r>
    </w:p>
  </w:footnote>
  <w:footnote w:id="5">
    <w:p w14:paraId="4CF1B956" w14:textId="77544459" w:rsidR="00CE39D4" w:rsidRPr="00AB4306" w:rsidRDefault="00CE39D4" w:rsidP="00AB4306">
      <w:pPr>
        <w:pStyle w:val="Textonotapie"/>
        <w:jc w:val="both"/>
        <w:rPr>
          <w:rFonts w:ascii="Times New Roman" w:hAnsi="Times New Roman" w:cs="Times New Roman"/>
        </w:rPr>
      </w:pPr>
      <w:r w:rsidRPr="00AB4306">
        <w:rPr>
          <w:rStyle w:val="Refdenotaalpie"/>
          <w:rFonts w:ascii="Times New Roman" w:hAnsi="Times New Roman" w:cs="Times New Roman"/>
        </w:rPr>
        <w:footnoteRef/>
      </w:r>
      <w:r w:rsidRPr="00AB4306">
        <w:rPr>
          <w:rFonts w:ascii="Times New Roman" w:hAnsi="Times New Roman" w:cs="Times New Roman"/>
        </w:rPr>
        <w:t xml:space="preserve"> La Teoría del Desarrollo Económico: una investigación sobre las ganancias, el capital, el crédito, el interés y el ciclo económico.</w:t>
      </w:r>
    </w:p>
  </w:footnote>
  <w:footnote w:id="6">
    <w:p w14:paraId="739B0F64" w14:textId="04762FF2" w:rsidR="00CE39D4" w:rsidRPr="00CD593F" w:rsidRDefault="00CE39D4" w:rsidP="00AB4306">
      <w:pPr>
        <w:pStyle w:val="Textonotapie"/>
        <w:jc w:val="both"/>
        <w:rPr>
          <w:sz w:val="18"/>
          <w:szCs w:val="18"/>
        </w:rPr>
      </w:pPr>
      <w:r w:rsidRPr="00AB4306">
        <w:rPr>
          <w:rStyle w:val="Refdenotaalpie"/>
          <w:rFonts w:ascii="Times New Roman" w:hAnsi="Times New Roman" w:cs="Times New Roman"/>
        </w:rPr>
        <w:footnoteRef/>
      </w:r>
      <w:r w:rsidRPr="00AB4306">
        <w:rPr>
          <w:rFonts w:ascii="Times New Roman" w:hAnsi="Times New Roman" w:cs="Times New Roman"/>
        </w:rPr>
        <w:t xml:space="preserve"> Para más información ver: J. A. </w:t>
      </w:r>
      <w:proofErr w:type="spellStart"/>
      <w:r w:rsidRPr="00AB4306">
        <w:rPr>
          <w:rFonts w:ascii="Times New Roman" w:hAnsi="Times New Roman" w:cs="Times New Roman"/>
        </w:rPr>
        <w:t>Schumpeter</w:t>
      </w:r>
      <w:proofErr w:type="spellEnd"/>
      <w:r w:rsidRPr="00AB4306">
        <w:rPr>
          <w:rFonts w:ascii="Times New Roman" w:hAnsi="Times New Roman" w:cs="Times New Roman"/>
        </w:rPr>
        <w:t>. 1942. Capitalismo, socialismo y democracia.</w:t>
      </w:r>
    </w:p>
  </w:footnote>
  <w:footnote w:id="7">
    <w:p w14:paraId="68D0B538" w14:textId="6E71FA5B" w:rsidR="00CE39D4" w:rsidRPr="00F6363F" w:rsidRDefault="00CE39D4" w:rsidP="00F6363F">
      <w:pPr>
        <w:pStyle w:val="Textonotapie"/>
        <w:jc w:val="both"/>
        <w:rPr>
          <w:rFonts w:ascii="Times New Roman" w:hAnsi="Times New Roman" w:cs="Times New Roman"/>
        </w:rPr>
      </w:pPr>
      <w:r w:rsidRPr="00F6363F">
        <w:rPr>
          <w:rStyle w:val="Refdenotaalpie"/>
          <w:rFonts w:ascii="Times New Roman" w:hAnsi="Times New Roman" w:cs="Times New Roman"/>
        </w:rPr>
        <w:footnoteRef/>
      </w:r>
      <w:r w:rsidRPr="00F6363F">
        <w:rPr>
          <w:rFonts w:ascii="Times New Roman" w:hAnsi="Times New Roman" w:cs="Times New Roman"/>
        </w:rPr>
        <w:t xml:space="preserve"> Esto considerando el 35% de beneficio directo sumando al 65% multiplicado por 17% del impuesto de primera categoría vigente en 2008. Durante el año comercial 201</w:t>
      </w:r>
      <w:r>
        <w:rPr>
          <w:rFonts w:ascii="Times New Roman" w:hAnsi="Times New Roman" w:cs="Times New Roman"/>
        </w:rPr>
        <w:t>1 pasó a ser un 20%, 21% en 2015 y seguirá aumentando hasta que en 2018 se estancará en 27%, si se mantiene la actual legislación tributaria para empresas.</w:t>
      </w:r>
    </w:p>
  </w:footnote>
  <w:footnote w:id="8">
    <w:p w14:paraId="001F4973" w14:textId="77777777" w:rsidR="00CE39D4" w:rsidRPr="005474E6" w:rsidRDefault="00CE39D4" w:rsidP="00F6363F">
      <w:pPr>
        <w:pStyle w:val="Textonotapie"/>
        <w:jc w:val="both"/>
        <w:rPr>
          <w:rFonts w:cs="Times New Roman"/>
          <w:lang w:val="es-CL"/>
        </w:rPr>
      </w:pPr>
      <w:r w:rsidRPr="00F6363F">
        <w:rPr>
          <w:rStyle w:val="Refdenotaalpie"/>
          <w:rFonts w:ascii="Times New Roman" w:hAnsi="Times New Roman" w:cs="Times New Roman"/>
        </w:rPr>
        <w:footnoteRef/>
      </w:r>
      <w:r w:rsidRPr="00F6363F">
        <w:rPr>
          <w:rFonts w:ascii="Times New Roman" w:hAnsi="Times New Roman" w:cs="Times New Roman"/>
        </w:rPr>
        <w:t xml:space="preserve"> Para ver la ley en mayor detalle: </w:t>
      </w:r>
      <w:hyperlink r:id="rId1" w:history="1">
        <w:r w:rsidRPr="00F6363F">
          <w:rPr>
            <w:rStyle w:val="Hipervnculo"/>
            <w:rFonts w:ascii="Times New Roman" w:hAnsi="Times New Roman" w:cs="Times New Roman"/>
            <w:lang w:val="es-CL"/>
          </w:rPr>
          <w:t>http://www.leychile.cl/N?i=268637&amp;f=2012-09-07&amp;p</w:t>
        </w:r>
      </w:hyperlink>
    </w:p>
  </w:footnote>
  <w:footnote w:id="9">
    <w:p w14:paraId="059E7BCA" w14:textId="1A4F878C" w:rsidR="00CE39D4" w:rsidRPr="00992682" w:rsidRDefault="00CE39D4">
      <w:pPr>
        <w:pStyle w:val="Textonotapie"/>
        <w:rPr>
          <w:rFonts w:ascii="Times New Roman" w:hAnsi="Times New Roman" w:cs="Times New Roman"/>
        </w:rPr>
      </w:pPr>
      <w:r w:rsidRPr="00992682">
        <w:rPr>
          <w:rStyle w:val="Refdenotaalpie"/>
          <w:rFonts w:ascii="Times New Roman" w:hAnsi="Times New Roman" w:cs="Times New Roman"/>
        </w:rPr>
        <w:footnoteRef/>
      </w:r>
      <w:r w:rsidRPr="00992682">
        <w:rPr>
          <w:rFonts w:ascii="Times New Roman" w:hAnsi="Times New Roman" w:cs="Times New Roman"/>
        </w:rPr>
        <w:t xml:space="preserve"> El incentivo permite financiar hasta un 48% del monto total certificado.</w:t>
      </w:r>
    </w:p>
  </w:footnote>
  <w:footnote w:id="10">
    <w:p w14:paraId="76F87097" w14:textId="0795AE98" w:rsidR="00CE39D4" w:rsidRPr="005C0F1F" w:rsidRDefault="00CE39D4">
      <w:pPr>
        <w:pStyle w:val="Textonotapie"/>
        <w:rPr>
          <w:rFonts w:ascii="Times New Roman" w:hAnsi="Times New Roman" w:cs="Times New Roman"/>
        </w:rPr>
      </w:pPr>
      <w:r w:rsidRPr="005C0F1F">
        <w:rPr>
          <w:rStyle w:val="Refdenotaalpie"/>
          <w:rFonts w:ascii="Times New Roman" w:hAnsi="Times New Roman" w:cs="Times New Roman"/>
        </w:rPr>
        <w:footnoteRef/>
      </w:r>
      <w:r w:rsidRPr="005C0F1F">
        <w:rPr>
          <w:rFonts w:ascii="Times New Roman" w:hAnsi="Times New Roman" w:cs="Times New Roman"/>
        </w:rPr>
        <w:t xml:space="preserve"> Ley de movimiento del stock de capital.</w:t>
      </w:r>
    </w:p>
  </w:footnote>
  <w:footnote w:id="11">
    <w:p w14:paraId="79452211" w14:textId="2BE4E6E3" w:rsidR="00CE39D4" w:rsidRPr="00674D0E" w:rsidRDefault="00CE39D4" w:rsidP="00674D0E">
      <w:pPr>
        <w:pStyle w:val="Textonotapie"/>
        <w:jc w:val="both"/>
        <w:rPr>
          <w:rFonts w:ascii="Times New Roman" w:hAnsi="Times New Roman" w:cs="Times New Roman"/>
        </w:rPr>
      </w:pPr>
      <w:r w:rsidRPr="00674D0E">
        <w:rPr>
          <w:rStyle w:val="Refdenotaalpie"/>
          <w:rFonts w:ascii="Times New Roman" w:hAnsi="Times New Roman" w:cs="Times New Roman"/>
        </w:rPr>
        <w:footnoteRef/>
      </w:r>
      <w:r w:rsidRPr="00674D0E">
        <w:rPr>
          <w:rFonts w:ascii="Times New Roman" w:hAnsi="Times New Roman" w:cs="Times New Roman"/>
        </w:rPr>
        <w:t xml:space="preserve"> Esta condición de primer orden se deriva del supuesto que no existe un mercado de segunda mano para los bienes de capital. En otras palabras, las empresas utilizan capital hasta depreciarlo completamente.</w:t>
      </w:r>
    </w:p>
  </w:footnote>
  <w:footnote w:id="12">
    <w:p w14:paraId="28300D38" w14:textId="77777777" w:rsidR="00CE39D4" w:rsidRPr="006A0175" w:rsidRDefault="00CE39D4" w:rsidP="008B4032">
      <w:pPr>
        <w:pStyle w:val="Textonotapie"/>
        <w:rPr>
          <w:rFonts w:ascii="Times New Roman" w:hAnsi="Times New Roman" w:cs="Times New Roman"/>
          <w:lang w:val="en-US"/>
        </w:rPr>
      </w:pPr>
      <w:r w:rsidRPr="006A0175">
        <w:rPr>
          <w:rStyle w:val="Refdenotaalpie"/>
          <w:rFonts w:ascii="Times New Roman" w:hAnsi="Times New Roman" w:cs="Times New Roman"/>
        </w:rPr>
        <w:footnoteRef/>
      </w:r>
      <w:r w:rsidRPr="006A0175">
        <w:rPr>
          <w:rFonts w:ascii="Times New Roman" w:hAnsi="Times New Roman" w:cs="Times New Roman"/>
          <w:lang w:val="en-US"/>
        </w:rPr>
        <w:t xml:space="preserve"> Mohnen y </w:t>
      </w:r>
      <w:proofErr w:type="spellStart"/>
      <w:r w:rsidRPr="006A0175">
        <w:rPr>
          <w:rFonts w:ascii="Times New Roman" w:hAnsi="Times New Roman" w:cs="Times New Roman"/>
          <w:lang w:val="en-US"/>
        </w:rPr>
        <w:t>Olivari</w:t>
      </w:r>
      <w:proofErr w:type="spellEnd"/>
      <w:r w:rsidRPr="006A0175">
        <w:rPr>
          <w:rFonts w:ascii="Times New Roman" w:hAnsi="Times New Roman" w:cs="Times New Roman"/>
          <w:lang w:val="en-US"/>
        </w:rPr>
        <w:t xml:space="preserve"> (2013).</w:t>
      </w:r>
    </w:p>
  </w:footnote>
  <w:footnote w:id="13">
    <w:p w14:paraId="4FE714FC" w14:textId="2FBC7B79" w:rsidR="00CE39D4" w:rsidRPr="006D7B29" w:rsidRDefault="00CE39D4" w:rsidP="006D7B29">
      <w:pPr>
        <w:pStyle w:val="Textonotapie"/>
        <w:jc w:val="both"/>
        <w:rPr>
          <w:rFonts w:ascii="Times New Roman" w:hAnsi="Times New Roman" w:cs="Times New Roman"/>
        </w:rPr>
      </w:pPr>
      <w:r w:rsidRPr="006D7B29">
        <w:rPr>
          <w:rStyle w:val="Refdenotaalpie"/>
          <w:rFonts w:ascii="Times New Roman" w:hAnsi="Times New Roman" w:cs="Times New Roman"/>
        </w:rPr>
        <w:footnoteRef/>
      </w:r>
      <w:r w:rsidRPr="006D7B29">
        <w:rPr>
          <w:rFonts w:ascii="Times New Roman" w:hAnsi="Times New Roman" w:cs="Times New Roman"/>
        </w:rPr>
        <w:t xml:space="preserve"> Por simplicidad y debido los ponderadores no varían significativamente se computa un ponderador general único por tamaño y sector económico para proyectos y contratos.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3685"/>
    <w:multiLevelType w:val="hybridMultilevel"/>
    <w:tmpl w:val="7CF8A40E"/>
    <w:lvl w:ilvl="0" w:tplc="0C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66552BB"/>
    <w:multiLevelType w:val="hybridMultilevel"/>
    <w:tmpl w:val="EE0CDD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627C60"/>
    <w:multiLevelType w:val="hybridMultilevel"/>
    <w:tmpl w:val="7D48AB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FB7BC4"/>
    <w:multiLevelType w:val="hybridMultilevel"/>
    <w:tmpl w:val="1FF8CB8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409A1831"/>
    <w:multiLevelType w:val="hybridMultilevel"/>
    <w:tmpl w:val="21622388"/>
    <w:lvl w:ilvl="0" w:tplc="B3E274BE">
      <w:start w:val="1"/>
      <w:numFmt w:val="decimal"/>
      <w:pStyle w:val="Ttulo1"/>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27E2317"/>
    <w:multiLevelType w:val="hybridMultilevel"/>
    <w:tmpl w:val="A3BCD2E8"/>
    <w:lvl w:ilvl="0" w:tplc="B04494B6">
      <w:start w:val="1"/>
      <w:numFmt w:val="lowerRoman"/>
      <w:pStyle w:val="Ttulo2"/>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2813237"/>
    <w:multiLevelType w:val="hybridMultilevel"/>
    <w:tmpl w:val="4BE028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C304BD4"/>
    <w:multiLevelType w:val="hybridMultilevel"/>
    <w:tmpl w:val="73669B1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5"/>
    <w:lvlOverride w:ilvl="0">
      <w:startOverride w:val="1"/>
    </w:lvlOverride>
  </w:num>
  <w:num w:numId="8">
    <w:abstractNumId w:val="5"/>
    <w:lvlOverride w:ilvl="0">
      <w:startOverride w:val="1"/>
    </w:lvlOverride>
  </w:num>
  <w:num w:numId="9">
    <w:abstractNumId w:val="0"/>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432"/>
    <w:rsid w:val="000143EF"/>
    <w:rsid w:val="00017599"/>
    <w:rsid w:val="00031F33"/>
    <w:rsid w:val="00040C34"/>
    <w:rsid w:val="00043C59"/>
    <w:rsid w:val="000474A9"/>
    <w:rsid w:val="00052271"/>
    <w:rsid w:val="000529A2"/>
    <w:rsid w:val="00052EA0"/>
    <w:rsid w:val="000535C7"/>
    <w:rsid w:val="0006047C"/>
    <w:rsid w:val="000705C1"/>
    <w:rsid w:val="00070CC2"/>
    <w:rsid w:val="000714EE"/>
    <w:rsid w:val="00071567"/>
    <w:rsid w:val="000739FE"/>
    <w:rsid w:val="00076195"/>
    <w:rsid w:val="00080690"/>
    <w:rsid w:val="00082E7E"/>
    <w:rsid w:val="000947E4"/>
    <w:rsid w:val="000A0B95"/>
    <w:rsid w:val="000A1BC3"/>
    <w:rsid w:val="000A2D31"/>
    <w:rsid w:val="000C362B"/>
    <w:rsid w:val="000D0558"/>
    <w:rsid w:val="000D2C3E"/>
    <w:rsid w:val="000D5140"/>
    <w:rsid w:val="000D6E09"/>
    <w:rsid w:val="000D7BEC"/>
    <w:rsid w:val="000F2E5E"/>
    <w:rsid w:val="000F4F54"/>
    <w:rsid w:val="000F5867"/>
    <w:rsid w:val="000F6925"/>
    <w:rsid w:val="00107D4B"/>
    <w:rsid w:val="00111B9F"/>
    <w:rsid w:val="001122C8"/>
    <w:rsid w:val="00114164"/>
    <w:rsid w:val="001228C8"/>
    <w:rsid w:val="00124726"/>
    <w:rsid w:val="00126A04"/>
    <w:rsid w:val="001320A8"/>
    <w:rsid w:val="00132C27"/>
    <w:rsid w:val="0014059D"/>
    <w:rsid w:val="001469D2"/>
    <w:rsid w:val="001528EB"/>
    <w:rsid w:val="001531FD"/>
    <w:rsid w:val="00154C3F"/>
    <w:rsid w:val="00160FDD"/>
    <w:rsid w:val="00190EEA"/>
    <w:rsid w:val="001959AD"/>
    <w:rsid w:val="00196440"/>
    <w:rsid w:val="001970E5"/>
    <w:rsid w:val="001A2631"/>
    <w:rsid w:val="001A2FA7"/>
    <w:rsid w:val="001A4B2C"/>
    <w:rsid w:val="001B39EE"/>
    <w:rsid w:val="001C090B"/>
    <w:rsid w:val="001D5648"/>
    <w:rsid w:val="001F604C"/>
    <w:rsid w:val="00201A0C"/>
    <w:rsid w:val="0020327D"/>
    <w:rsid w:val="00210237"/>
    <w:rsid w:val="00222B09"/>
    <w:rsid w:val="00233B91"/>
    <w:rsid w:val="002443BE"/>
    <w:rsid w:val="002450D9"/>
    <w:rsid w:val="00256B2A"/>
    <w:rsid w:val="002671DB"/>
    <w:rsid w:val="0028459B"/>
    <w:rsid w:val="00297A22"/>
    <w:rsid w:val="002A4EBF"/>
    <w:rsid w:val="002B3A3A"/>
    <w:rsid w:val="002C2175"/>
    <w:rsid w:val="002C7C26"/>
    <w:rsid w:val="002D3029"/>
    <w:rsid w:val="002D59C3"/>
    <w:rsid w:val="002E2342"/>
    <w:rsid w:val="002E4AFA"/>
    <w:rsid w:val="002F443F"/>
    <w:rsid w:val="002F7C94"/>
    <w:rsid w:val="00300481"/>
    <w:rsid w:val="00305970"/>
    <w:rsid w:val="00307BD9"/>
    <w:rsid w:val="003161C9"/>
    <w:rsid w:val="00321541"/>
    <w:rsid w:val="00342F81"/>
    <w:rsid w:val="00344342"/>
    <w:rsid w:val="00351E74"/>
    <w:rsid w:val="00352603"/>
    <w:rsid w:val="00352CCD"/>
    <w:rsid w:val="00355C96"/>
    <w:rsid w:val="00357B6F"/>
    <w:rsid w:val="003611C3"/>
    <w:rsid w:val="003704E9"/>
    <w:rsid w:val="00372614"/>
    <w:rsid w:val="00385817"/>
    <w:rsid w:val="00387EF2"/>
    <w:rsid w:val="003917B0"/>
    <w:rsid w:val="003943D2"/>
    <w:rsid w:val="003A148B"/>
    <w:rsid w:val="003C1C6C"/>
    <w:rsid w:val="003C2726"/>
    <w:rsid w:val="003C54BC"/>
    <w:rsid w:val="003D54C9"/>
    <w:rsid w:val="003E0FA5"/>
    <w:rsid w:val="003E38EC"/>
    <w:rsid w:val="003E5073"/>
    <w:rsid w:val="003E6FA1"/>
    <w:rsid w:val="003F6322"/>
    <w:rsid w:val="00405032"/>
    <w:rsid w:val="004174D0"/>
    <w:rsid w:val="00425820"/>
    <w:rsid w:val="00425BE8"/>
    <w:rsid w:val="00427979"/>
    <w:rsid w:val="0043227A"/>
    <w:rsid w:val="004340BD"/>
    <w:rsid w:val="004408FF"/>
    <w:rsid w:val="0044482C"/>
    <w:rsid w:val="00450B14"/>
    <w:rsid w:val="00450D4C"/>
    <w:rsid w:val="0045225D"/>
    <w:rsid w:val="00461431"/>
    <w:rsid w:val="0047318A"/>
    <w:rsid w:val="00475C17"/>
    <w:rsid w:val="00476BEC"/>
    <w:rsid w:val="004B2FF0"/>
    <w:rsid w:val="004C5E13"/>
    <w:rsid w:val="004C65A6"/>
    <w:rsid w:val="004C7C67"/>
    <w:rsid w:val="004F67AB"/>
    <w:rsid w:val="00503CEF"/>
    <w:rsid w:val="00514800"/>
    <w:rsid w:val="00516304"/>
    <w:rsid w:val="00521FCC"/>
    <w:rsid w:val="0052350C"/>
    <w:rsid w:val="0053530A"/>
    <w:rsid w:val="0053598B"/>
    <w:rsid w:val="005474E6"/>
    <w:rsid w:val="00547D5D"/>
    <w:rsid w:val="00550CB7"/>
    <w:rsid w:val="00561A06"/>
    <w:rsid w:val="00565075"/>
    <w:rsid w:val="00566025"/>
    <w:rsid w:val="00574225"/>
    <w:rsid w:val="00575639"/>
    <w:rsid w:val="00585A05"/>
    <w:rsid w:val="005A5A83"/>
    <w:rsid w:val="005C024F"/>
    <w:rsid w:val="005C0F1F"/>
    <w:rsid w:val="005E6541"/>
    <w:rsid w:val="005F4E17"/>
    <w:rsid w:val="00600FE5"/>
    <w:rsid w:val="00613FB3"/>
    <w:rsid w:val="00614D0D"/>
    <w:rsid w:val="00623875"/>
    <w:rsid w:val="006265AA"/>
    <w:rsid w:val="0062691D"/>
    <w:rsid w:val="006404E9"/>
    <w:rsid w:val="0065147C"/>
    <w:rsid w:val="0065589E"/>
    <w:rsid w:val="006714BF"/>
    <w:rsid w:val="00674D0E"/>
    <w:rsid w:val="00687486"/>
    <w:rsid w:val="0069565B"/>
    <w:rsid w:val="006A0175"/>
    <w:rsid w:val="006A479E"/>
    <w:rsid w:val="006A6F38"/>
    <w:rsid w:val="006B00BF"/>
    <w:rsid w:val="006B5DC6"/>
    <w:rsid w:val="006B7D45"/>
    <w:rsid w:val="006D22CA"/>
    <w:rsid w:val="006D32D8"/>
    <w:rsid w:val="006D5C35"/>
    <w:rsid w:val="006D7B29"/>
    <w:rsid w:val="006E52B8"/>
    <w:rsid w:val="006F7A1C"/>
    <w:rsid w:val="0070054A"/>
    <w:rsid w:val="00704E44"/>
    <w:rsid w:val="00716173"/>
    <w:rsid w:val="0073220C"/>
    <w:rsid w:val="007531F0"/>
    <w:rsid w:val="00771A57"/>
    <w:rsid w:val="00771DB7"/>
    <w:rsid w:val="00771DD7"/>
    <w:rsid w:val="007746A0"/>
    <w:rsid w:val="0078088A"/>
    <w:rsid w:val="00782BC7"/>
    <w:rsid w:val="0078535E"/>
    <w:rsid w:val="0078743C"/>
    <w:rsid w:val="00796EAA"/>
    <w:rsid w:val="007A2CA7"/>
    <w:rsid w:val="007B22BC"/>
    <w:rsid w:val="007B22DF"/>
    <w:rsid w:val="007B3344"/>
    <w:rsid w:val="007B6132"/>
    <w:rsid w:val="007B70E5"/>
    <w:rsid w:val="007C6892"/>
    <w:rsid w:val="007C6EDD"/>
    <w:rsid w:val="007D3874"/>
    <w:rsid w:val="007D77CA"/>
    <w:rsid w:val="007E71FD"/>
    <w:rsid w:val="007F0522"/>
    <w:rsid w:val="007F26B1"/>
    <w:rsid w:val="008022F2"/>
    <w:rsid w:val="00803008"/>
    <w:rsid w:val="00805464"/>
    <w:rsid w:val="0080788D"/>
    <w:rsid w:val="00811648"/>
    <w:rsid w:val="00812B99"/>
    <w:rsid w:val="00813976"/>
    <w:rsid w:val="0082351B"/>
    <w:rsid w:val="00824C7F"/>
    <w:rsid w:val="00831C33"/>
    <w:rsid w:val="00834581"/>
    <w:rsid w:val="00840164"/>
    <w:rsid w:val="0084426A"/>
    <w:rsid w:val="00860989"/>
    <w:rsid w:val="00867763"/>
    <w:rsid w:val="008759A1"/>
    <w:rsid w:val="00882093"/>
    <w:rsid w:val="008833E4"/>
    <w:rsid w:val="00883CA4"/>
    <w:rsid w:val="00883E9D"/>
    <w:rsid w:val="00884C14"/>
    <w:rsid w:val="00897B31"/>
    <w:rsid w:val="008A67AD"/>
    <w:rsid w:val="008A6B54"/>
    <w:rsid w:val="008B0BFD"/>
    <w:rsid w:val="008B0CD3"/>
    <w:rsid w:val="008B4032"/>
    <w:rsid w:val="008B6114"/>
    <w:rsid w:val="008B68CA"/>
    <w:rsid w:val="008B6CD9"/>
    <w:rsid w:val="008B797C"/>
    <w:rsid w:val="008C18D2"/>
    <w:rsid w:val="008D1F1B"/>
    <w:rsid w:val="008E4259"/>
    <w:rsid w:val="008E77C9"/>
    <w:rsid w:val="008F279D"/>
    <w:rsid w:val="00901162"/>
    <w:rsid w:val="00902DA8"/>
    <w:rsid w:val="009053F0"/>
    <w:rsid w:val="009056A8"/>
    <w:rsid w:val="00907210"/>
    <w:rsid w:val="009118F1"/>
    <w:rsid w:val="00921565"/>
    <w:rsid w:val="009227D4"/>
    <w:rsid w:val="00937947"/>
    <w:rsid w:val="00940A30"/>
    <w:rsid w:val="009444C4"/>
    <w:rsid w:val="00961E3E"/>
    <w:rsid w:val="00962247"/>
    <w:rsid w:val="00970347"/>
    <w:rsid w:val="00976C44"/>
    <w:rsid w:val="00981601"/>
    <w:rsid w:val="00982AF1"/>
    <w:rsid w:val="00982C9E"/>
    <w:rsid w:val="00982F75"/>
    <w:rsid w:val="00992682"/>
    <w:rsid w:val="009A07B9"/>
    <w:rsid w:val="009A4A23"/>
    <w:rsid w:val="009A7531"/>
    <w:rsid w:val="009B485A"/>
    <w:rsid w:val="009D5CD4"/>
    <w:rsid w:val="009E31BF"/>
    <w:rsid w:val="009E7B51"/>
    <w:rsid w:val="00A0067E"/>
    <w:rsid w:val="00A02EE5"/>
    <w:rsid w:val="00A12F7A"/>
    <w:rsid w:val="00A141C7"/>
    <w:rsid w:val="00A20A79"/>
    <w:rsid w:val="00A33FDA"/>
    <w:rsid w:val="00A347F5"/>
    <w:rsid w:val="00A47DFE"/>
    <w:rsid w:val="00A50AF7"/>
    <w:rsid w:val="00A50DD9"/>
    <w:rsid w:val="00A615D9"/>
    <w:rsid w:val="00A627C6"/>
    <w:rsid w:val="00A647A6"/>
    <w:rsid w:val="00A71140"/>
    <w:rsid w:val="00A72518"/>
    <w:rsid w:val="00A76E36"/>
    <w:rsid w:val="00A868E2"/>
    <w:rsid w:val="00A917B7"/>
    <w:rsid w:val="00A95970"/>
    <w:rsid w:val="00AA3A03"/>
    <w:rsid w:val="00AA452A"/>
    <w:rsid w:val="00AB10E4"/>
    <w:rsid w:val="00AB4306"/>
    <w:rsid w:val="00AB6158"/>
    <w:rsid w:val="00AC1F29"/>
    <w:rsid w:val="00AC5D7A"/>
    <w:rsid w:val="00AD1E49"/>
    <w:rsid w:val="00AE4E76"/>
    <w:rsid w:val="00AF3B3B"/>
    <w:rsid w:val="00AF5CFD"/>
    <w:rsid w:val="00B17C7B"/>
    <w:rsid w:val="00B17DCB"/>
    <w:rsid w:val="00B47031"/>
    <w:rsid w:val="00B5258C"/>
    <w:rsid w:val="00B64F73"/>
    <w:rsid w:val="00B83FDD"/>
    <w:rsid w:val="00B878F8"/>
    <w:rsid w:val="00B87DB5"/>
    <w:rsid w:val="00B911CD"/>
    <w:rsid w:val="00B91E07"/>
    <w:rsid w:val="00B93B9A"/>
    <w:rsid w:val="00BB1F5C"/>
    <w:rsid w:val="00BC4EFB"/>
    <w:rsid w:val="00BD557A"/>
    <w:rsid w:val="00C24072"/>
    <w:rsid w:val="00C26B74"/>
    <w:rsid w:val="00C33B92"/>
    <w:rsid w:val="00C36F19"/>
    <w:rsid w:val="00C37AB5"/>
    <w:rsid w:val="00C4577F"/>
    <w:rsid w:val="00C665CA"/>
    <w:rsid w:val="00C70D9B"/>
    <w:rsid w:val="00C72D84"/>
    <w:rsid w:val="00C740E5"/>
    <w:rsid w:val="00C8294C"/>
    <w:rsid w:val="00C85952"/>
    <w:rsid w:val="00C86D63"/>
    <w:rsid w:val="00CA53B8"/>
    <w:rsid w:val="00CA6EEB"/>
    <w:rsid w:val="00CB5A30"/>
    <w:rsid w:val="00CB7C80"/>
    <w:rsid w:val="00CC64DC"/>
    <w:rsid w:val="00CD4AA9"/>
    <w:rsid w:val="00CD593F"/>
    <w:rsid w:val="00CE0CAD"/>
    <w:rsid w:val="00CE313E"/>
    <w:rsid w:val="00CE39D4"/>
    <w:rsid w:val="00CF44D4"/>
    <w:rsid w:val="00D100BF"/>
    <w:rsid w:val="00D14E8A"/>
    <w:rsid w:val="00D154DE"/>
    <w:rsid w:val="00D164E3"/>
    <w:rsid w:val="00D20D11"/>
    <w:rsid w:val="00D20D39"/>
    <w:rsid w:val="00D211E7"/>
    <w:rsid w:val="00D2412D"/>
    <w:rsid w:val="00D31061"/>
    <w:rsid w:val="00D33CE9"/>
    <w:rsid w:val="00D367B3"/>
    <w:rsid w:val="00D40F01"/>
    <w:rsid w:val="00D425FD"/>
    <w:rsid w:val="00D43832"/>
    <w:rsid w:val="00D472C2"/>
    <w:rsid w:val="00D51929"/>
    <w:rsid w:val="00D56397"/>
    <w:rsid w:val="00D6103D"/>
    <w:rsid w:val="00D61FA6"/>
    <w:rsid w:val="00D675C2"/>
    <w:rsid w:val="00D7011F"/>
    <w:rsid w:val="00D718A4"/>
    <w:rsid w:val="00D85718"/>
    <w:rsid w:val="00D9050C"/>
    <w:rsid w:val="00D90BDA"/>
    <w:rsid w:val="00D911AF"/>
    <w:rsid w:val="00DA0D79"/>
    <w:rsid w:val="00DA5287"/>
    <w:rsid w:val="00DA69D2"/>
    <w:rsid w:val="00DB29AB"/>
    <w:rsid w:val="00DC6965"/>
    <w:rsid w:val="00DC741E"/>
    <w:rsid w:val="00DD7FE0"/>
    <w:rsid w:val="00DE7EA4"/>
    <w:rsid w:val="00DE7F44"/>
    <w:rsid w:val="00DF49D2"/>
    <w:rsid w:val="00DF60D1"/>
    <w:rsid w:val="00E02AC5"/>
    <w:rsid w:val="00E24335"/>
    <w:rsid w:val="00E24DC0"/>
    <w:rsid w:val="00E31432"/>
    <w:rsid w:val="00E334FF"/>
    <w:rsid w:val="00E355D5"/>
    <w:rsid w:val="00E50CD5"/>
    <w:rsid w:val="00E51039"/>
    <w:rsid w:val="00E641A8"/>
    <w:rsid w:val="00E67877"/>
    <w:rsid w:val="00E706AF"/>
    <w:rsid w:val="00E7101C"/>
    <w:rsid w:val="00E8381E"/>
    <w:rsid w:val="00E90530"/>
    <w:rsid w:val="00EB45DD"/>
    <w:rsid w:val="00EC1223"/>
    <w:rsid w:val="00EC6AA6"/>
    <w:rsid w:val="00ED0A73"/>
    <w:rsid w:val="00ED192B"/>
    <w:rsid w:val="00ED79BA"/>
    <w:rsid w:val="00EE5DEF"/>
    <w:rsid w:val="00EF0381"/>
    <w:rsid w:val="00EF28FD"/>
    <w:rsid w:val="00EF381B"/>
    <w:rsid w:val="00EF70D2"/>
    <w:rsid w:val="00F00B82"/>
    <w:rsid w:val="00F0670B"/>
    <w:rsid w:val="00F11173"/>
    <w:rsid w:val="00F115ED"/>
    <w:rsid w:val="00F20D40"/>
    <w:rsid w:val="00F245C4"/>
    <w:rsid w:val="00F247EF"/>
    <w:rsid w:val="00F2528B"/>
    <w:rsid w:val="00F33263"/>
    <w:rsid w:val="00F40C76"/>
    <w:rsid w:val="00F429A8"/>
    <w:rsid w:val="00F43AB2"/>
    <w:rsid w:val="00F4663D"/>
    <w:rsid w:val="00F516E2"/>
    <w:rsid w:val="00F51A10"/>
    <w:rsid w:val="00F57313"/>
    <w:rsid w:val="00F6363F"/>
    <w:rsid w:val="00F71BC6"/>
    <w:rsid w:val="00F747D8"/>
    <w:rsid w:val="00F77841"/>
    <w:rsid w:val="00F85C9E"/>
    <w:rsid w:val="00F94BD5"/>
    <w:rsid w:val="00F94C83"/>
    <w:rsid w:val="00FA5102"/>
    <w:rsid w:val="00FB4078"/>
    <w:rsid w:val="00FB50D7"/>
    <w:rsid w:val="00FB5A71"/>
    <w:rsid w:val="00FB67FF"/>
    <w:rsid w:val="00FC34AC"/>
    <w:rsid w:val="00FC686F"/>
    <w:rsid w:val="00FF045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0345"/>
  <w15:chartTrackingRefBased/>
  <w15:docId w15:val="{273AC3D7-EBB1-4D58-A936-0085F48D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32"/>
    <w:pPr>
      <w:spacing w:after="200" w:line="276" w:lineRule="auto"/>
    </w:pPr>
    <w:rPr>
      <w:lang w:val="es-ES"/>
    </w:rPr>
  </w:style>
  <w:style w:type="paragraph" w:styleId="Ttulo1">
    <w:name w:val="heading 1"/>
    <w:basedOn w:val="Normal"/>
    <w:next w:val="Normal"/>
    <w:link w:val="Ttulo1Car"/>
    <w:uiPriority w:val="9"/>
    <w:qFormat/>
    <w:rsid w:val="005C024F"/>
    <w:pPr>
      <w:keepNext/>
      <w:keepLines/>
      <w:numPr>
        <w:numId w:val="4"/>
      </w:numPr>
      <w:spacing w:before="240" w:after="0"/>
      <w:outlineLvl w:val="0"/>
    </w:pPr>
    <w:rPr>
      <w:rFonts w:ascii="Times New Roman" w:eastAsiaTheme="majorEastAsia" w:hAnsi="Times New Roman" w:cstheme="majorBidi"/>
      <w:b/>
      <w:color w:val="2E74B5" w:themeColor="accent1" w:themeShade="BF"/>
      <w:sz w:val="24"/>
      <w:szCs w:val="32"/>
    </w:rPr>
  </w:style>
  <w:style w:type="paragraph" w:styleId="Ttulo2">
    <w:name w:val="heading 2"/>
    <w:basedOn w:val="Normal"/>
    <w:link w:val="Ttulo2Car"/>
    <w:uiPriority w:val="9"/>
    <w:qFormat/>
    <w:rsid w:val="00111B9F"/>
    <w:pPr>
      <w:numPr>
        <w:numId w:val="6"/>
      </w:numPr>
      <w:spacing w:before="100" w:beforeAutospacing="1" w:after="100" w:afterAutospacing="1" w:line="240" w:lineRule="auto"/>
      <w:outlineLvl w:val="1"/>
    </w:pPr>
    <w:rPr>
      <w:rFonts w:ascii="Times New Roman" w:eastAsia="Times New Roman" w:hAnsi="Times New Roman" w:cs="Times New Roman"/>
      <w:b/>
      <w:bCs/>
      <w:sz w:val="24"/>
      <w:szCs w:val="36"/>
      <w:lang w:val="es-CL" w:eastAsia="es-CL"/>
    </w:rPr>
  </w:style>
  <w:style w:type="paragraph" w:styleId="Ttulo3">
    <w:name w:val="heading 3"/>
    <w:basedOn w:val="Normal"/>
    <w:next w:val="Normal"/>
    <w:link w:val="Ttulo3Car"/>
    <w:uiPriority w:val="9"/>
    <w:unhideWhenUsed/>
    <w:qFormat/>
    <w:rsid w:val="00F71B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1432"/>
    <w:rPr>
      <w:color w:val="0000FF"/>
      <w:u w:val="single"/>
    </w:rPr>
  </w:style>
  <w:style w:type="paragraph" w:styleId="Sinespaciado">
    <w:name w:val="No Spacing"/>
    <w:link w:val="SinespaciadoCar"/>
    <w:uiPriority w:val="1"/>
    <w:qFormat/>
    <w:rsid w:val="00E31432"/>
    <w:pPr>
      <w:spacing w:after="0" w:line="240" w:lineRule="auto"/>
    </w:pPr>
    <w:rPr>
      <w:rFonts w:ascii="Calibri" w:eastAsia="Times New Roman" w:hAnsi="Calibri" w:cs="Times New Roman"/>
      <w:lang w:eastAsia="es-CL"/>
    </w:rPr>
  </w:style>
  <w:style w:type="character" w:customStyle="1" w:styleId="SinespaciadoCar">
    <w:name w:val="Sin espaciado Car"/>
    <w:link w:val="Sinespaciado"/>
    <w:uiPriority w:val="1"/>
    <w:rsid w:val="00E31432"/>
    <w:rPr>
      <w:rFonts w:ascii="Calibri" w:eastAsia="Times New Roman" w:hAnsi="Calibri" w:cs="Times New Roman"/>
      <w:lang w:eastAsia="es-CL"/>
    </w:rPr>
  </w:style>
  <w:style w:type="paragraph" w:styleId="Textonotapie">
    <w:name w:val="footnote text"/>
    <w:aliases w:val="fn,Texto nota pie IIRSA,Car, Car,footnote,single space,FOOTNOTES,Footnote Text Char Char,ft,Footnote,foottextfra,F,Footnote Text Char Char Char Char Char Char Char,Footnote Text Char Char Char Char Char,footnote text,texto de nota al pie"/>
    <w:basedOn w:val="Normal"/>
    <w:link w:val="TextonotapieCar"/>
    <w:uiPriority w:val="99"/>
    <w:unhideWhenUsed/>
    <w:rsid w:val="009053F0"/>
    <w:pPr>
      <w:spacing w:after="0" w:line="240" w:lineRule="auto"/>
    </w:pPr>
    <w:rPr>
      <w:sz w:val="20"/>
      <w:szCs w:val="20"/>
    </w:rPr>
  </w:style>
  <w:style w:type="character" w:customStyle="1" w:styleId="TextonotapieCar">
    <w:name w:val="Texto nota pie Car"/>
    <w:aliases w:val="fn Car,Texto nota pie IIRSA Car,Car Car, Car Car,footnote Car,single space Car,FOOTNOTES Car,Footnote Text Char Char Car,ft Car,Footnote Car,foottextfra Car,F Car,Footnote Text Char Char Char Char Char Char Char Car,footnote text Car"/>
    <w:basedOn w:val="Fuentedeprrafopredeter"/>
    <w:link w:val="Textonotapie"/>
    <w:uiPriority w:val="99"/>
    <w:rsid w:val="009053F0"/>
    <w:rPr>
      <w:sz w:val="20"/>
      <w:szCs w:val="20"/>
      <w:lang w:val="es-ES"/>
    </w:rPr>
  </w:style>
  <w:style w:type="character" w:styleId="Refdenotaalpie">
    <w:name w:val="footnote reference"/>
    <w:aliases w:val="Ref. de nota al pie.,FC,ftref,16 Point,Superscript 6 Point"/>
    <w:basedOn w:val="Fuentedeprrafopredeter"/>
    <w:uiPriority w:val="99"/>
    <w:unhideWhenUsed/>
    <w:rsid w:val="009053F0"/>
    <w:rPr>
      <w:vertAlign w:val="superscript"/>
    </w:rPr>
  </w:style>
  <w:style w:type="character" w:customStyle="1" w:styleId="apple-converted-space">
    <w:name w:val="apple-converted-space"/>
    <w:basedOn w:val="Fuentedeprrafopredeter"/>
    <w:rsid w:val="009053F0"/>
  </w:style>
  <w:style w:type="character" w:styleId="nfasis">
    <w:name w:val="Emphasis"/>
    <w:basedOn w:val="Fuentedeprrafopredeter"/>
    <w:uiPriority w:val="20"/>
    <w:qFormat/>
    <w:rsid w:val="009053F0"/>
    <w:rPr>
      <w:i/>
      <w:iCs/>
    </w:rPr>
  </w:style>
  <w:style w:type="paragraph" w:styleId="Prrafodelista">
    <w:name w:val="List Paragraph"/>
    <w:basedOn w:val="Normal"/>
    <w:uiPriority w:val="34"/>
    <w:qFormat/>
    <w:rsid w:val="009053F0"/>
    <w:pPr>
      <w:ind w:left="720"/>
      <w:contextualSpacing/>
    </w:pPr>
    <w:rPr>
      <w:rFonts w:ascii="Calibri" w:eastAsia="Calibri" w:hAnsi="Calibri" w:cs="Times New Roman"/>
      <w:lang w:val="en-US"/>
    </w:rPr>
  </w:style>
  <w:style w:type="character" w:styleId="Hipervnculovisitado">
    <w:name w:val="FollowedHyperlink"/>
    <w:basedOn w:val="Fuentedeprrafopredeter"/>
    <w:uiPriority w:val="99"/>
    <w:semiHidden/>
    <w:unhideWhenUsed/>
    <w:rsid w:val="00E706AF"/>
    <w:rPr>
      <w:color w:val="954F72" w:themeColor="followedHyperlink"/>
      <w:u w:val="single"/>
    </w:rPr>
  </w:style>
  <w:style w:type="paragraph" w:styleId="HTMLconformatoprevio">
    <w:name w:val="HTML Preformatted"/>
    <w:basedOn w:val="Normal"/>
    <w:link w:val="HTMLconformatoprevioCar"/>
    <w:uiPriority w:val="99"/>
    <w:semiHidden/>
    <w:unhideWhenUsed/>
    <w:rsid w:val="00BC4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semiHidden/>
    <w:rsid w:val="00BC4EFB"/>
    <w:rPr>
      <w:rFonts w:ascii="Courier New" w:eastAsia="Times New Roman" w:hAnsi="Courier New" w:cs="Courier New"/>
      <w:sz w:val="20"/>
      <w:szCs w:val="20"/>
      <w:lang w:eastAsia="es-CL"/>
    </w:rPr>
  </w:style>
  <w:style w:type="paragraph" w:styleId="NormalWeb">
    <w:name w:val="Normal (Web)"/>
    <w:basedOn w:val="Normal"/>
    <w:uiPriority w:val="99"/>
    <w:semiHidden/>
    <w:unhideWhenUsed/>
    <w:rsid w:val="0047318A"/>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customStyle="1" w:styleId="Ttulo2Car">
    <w:name w:val="Título 2 Car"/>
    <w:basedOn w:val="Fuentedeprrafopredeter"/>
    <w:link w:val="Ttulo2"/>
    <w:uiPriority w:val="9"/>
    <w:rsid w:val="00111B9F"/>
    <w:rPr>
      <w:rFonts w:ascii="Times New Roman" w:eastAsia="Times New Roman" w:hAnsi="Times New Roman" w:cs="Times New Roman"/>
      <w:b/>
      <w:bCs/>
      <w:sz w:val="24"/>
      <w:szCs w:val="36"/>
      <w:lang w:eastAsia="es-CL"/>
    </w:rPr>
  </w:style>
  <w:style w:type="paragraph" w:styleId="Textodeglobo">
    <w:name w:val="Balloon Text"/>
    <w:basedOn w:val="Normal"/>
    <w:link w:val="TextodegloboCar"/>
    <w:uiPriority w:val="99"/>
    <w:semiHidden/>
    <w:unhideWhenUsed/>
    <w:rsid w:val="004408F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8FF"/>
    <w:rPr>
      <w:rFonts w:ascii="Segoe UI" w:hAnsi="Segoe UI" w:cs="Segoe UI"/>
      <w:sz w:val="18"/>
      <w:szCs w:val="18"/>
      <w:lang w:val="es-ES"/>
    </w:rPr>
  </w:style>
  <w:style w:type="paragraph" w:styleId="Encabezado">
    <w:name w:val="header"/>
    <w:basedOn w:val="Normal"/>
    <w:link w:val="EncabezadoCar"/>
    <w:uiPriority w:val="99"/>
    <w:unhideWhenUsed/>
    <w:rsid w:val="00547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74E6"/>
    <w:rPr>
      <w:lang w:val="es-ES"/>
    </w:rPr>
  </w:style>
  <w:style w:type="paragraph" w:styleId="Piedepgina">
    <w:name w:val="footer"/>
    <w:basedOn w:val="Normal"/>
    <w:link w:val="PiedepginaCar"/>
    <w:uiPriority w:val="99"/>
    <w:unhideWhenUsed/>
    <w:rsid w:val="00547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74E6"/>
    <w:rPr>
      <w:lang w:val="es-ES"/>
    </w:rPr>
  </w:style>
  <w:style w:type="character" w:customStyle="1" w:styleId="Ttulo1Car">
    <w:name w:val="Título 1 Car"/>
    <w:basedOn w:val="Fuentedeprrafopredeter"/>
    <w:link w:val="Ttulo1"/>
    <w:uiPriority w:val="9"/>
    <w:rsid w:val="001228C8"/>
    <w:rPr>
      <w:rFonts w:ascii="Times New Roman" w:eastAsiaTheme="majorEastAsia" w:hAnsi="Times New Roman" w:cstheme="majorBidi"/>
      <w:b/>
      <w:color w:val="2E74B5" w:themeColor="accent1" w:themeShade="BF"/>
      <w:sz w:val="24"/>
      <w:szCs w:val="32"/>
      <w:lang w:val="es-ES"/>
    </w:rPr>
  </w:style>
  <w:style w:type="character" w:customStyle="1" w:styleId="Ttulo3Car">
    <w:name w:val="Título 3 Car"/>
    <w:basedOn w:val="Fuentedeprrafopredeter"/>
    <w:link w:val="Ttulo3"/>
    <w:uiPriority w:val="9"/>
    <w:rsid w:val="00F71BC6"/>
    <w:rPr>
      <w:rFonts w:asciiTheme="majorHAnsi" w:eastAsiaTheme="majorEastAsia" w:hAnsiTheme="majorHAnsi" w:cstheme="majorBidi"/>
      <w:color w:val="1F4D78" w:themeColor="accent1" w:themeShade="7F"/>
      <w:sz w:val="24"/>
      <w:szCs w:val="24"/>
      <w:lang w:val="es-ES"/>
    </w:rPr>
  </w:style>
  <w:style w:type="paragraph" w:styleId="Ttulo">
    <w:name w:val="Title"/>
    <w:basedOn w:val="Normal"/>
    <w:next w:val="Normal"/>
    <w:link w:val="TtuloCar"/>
    <w:uiPriority w:val="10"/>
    <w:qFormat/>
    <w:rsid w:val="00F71BC6"/>
    <w:pPr>
      <w:pBdr>
        <w:bottom w:val="single" w:sz="8" w:space="4" w:color="5B9BD5" w:themeColor="accent1"/>
      </w:pBdr>
      <w:spacing w:before="200" w:after="300" w:line="240" w:lineRule="auto"/>
      <w:contextualSpacing/>
      <w:jc w:val="center"/>
    </w:pPr>
    <w:rPr>
      <w:rFonts w:asciiTheme="majorHAnsi" w:eastAsiaTheme="majorEastAsia" w:hAnsiTheme="majorHAnsi" w:cstheme="majorBidi"/>
      <w:color w:val="323E4F" w:themeColor="text2" w:themeShade="BF"/>
      <w:spacing w:val="5"/>
      <w:kern w:val="28"/>
      <w:sz w:val="28"/>
      <w:szCs w:val="52"/>
      <w:lang w:val="en-US"/>
    </w:rPr>
  </w:style>
  <w:style w:type="character" w:customStyle="1" w:styleId="TtuloCar">
    <w:name w:val="Título Car"/>
    <w:basedOn w:val="Fuentedeprrafopredeter"/>
    <w:link w:val="Ttulo"/>
    <w:uiPriority w:val="10"/>
    <w:rsid w:val="00F71BC6"/>
    <w:rPr>
      <w:rFonts w:asciiTheme="majorHAnsi" w:eastAsiaTheme="majorEastAsia" w:hAnsiTheme="majorHAnsi" w:cstheme="majorBidi"/>
      <w:color w:val="323E4F" w:themeColor="text2" w:themeShade="BF"/>
      <w:spacing w:val="5"/>
      <w:kern w:val="28"/>
      <w:sz w:val="28"/>
      <w:szCs w:val="52"/>
      <w:lang w:val="en-US"/>
    </w:rPr>
  </w:style>
  <w:style w:type="character" w:styleId="Refdecomentario">
    <w:name w:val="annotation reference"/>
    <w:basedOn w:val="Fuentedeprrafopredeter"/>
    <w:uiPriority w:val="99"/>
    <w:semiHidden/>
    <w:unhideWhenUsed/>
    <w:rsid w:val="007D3874"/>
    <w:rPr>
      <w:sz w:val="16"/>
      <w:szCs w:val="16"/>
    </w:rPr>
  </w:style>
  <w:style w:type="paragraph" w:styleId="Textocomentario">
    <w:name w:val="annotation text"/>
    <w:basedOn w:val="Normal"/>
    <w:link w:val="TextocomentarioCar"/>
    <w:uiPriority w:val="99"/>
    <w:unhideWhenUsed/>
    <w:rsid w:val="007D3874"/>
    <w:pPr>
      <w:spacing w:line="240" w:lineRule="auto"/>
    </w:pPr>
    <w:rPr>
      <w:sz w:val="20"/>
      <w:szCs w:val="20"/>
    </w:rPr>
  </w:style>
  <w:style w:type="character" w:customStyle="1" w:styleId="TextocomentarioCar">
    <w:name w:val="Texto comentario Car"/>
    <w:basedOn w:val="Fuentedeprrafopredeter"/>
    <w:link w:val="Textocomentario"/>
    <w:uiPriority w:val="99"/>
    <w:rsid w:val="007D387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3874"/>
    <w:rPr>
      <w:b/>
      <w:bCs/>
    </w:rPr>
  </w:style>
  <w:style w:type="character" w:customStyle="1" w:styleId="AsuntodelcomentarioCar">
    <w:name w:val="Asunto del comentario Car"/>
    <w:basedOn w:val="TextocomentarioCar"/>
    <w:link w:val="Asuntodelcomentario"/>
    <w:uiPriority w:val="99"/>
    <w:semiHidden/>
    <w:rsid w:val="007D3874"/>
    <w:rPr>
      <w:b/>
      <w:bCs/>
      <w:sz w:val="20"/>
      <w:szCs w:val="20"/>
      <w:lang w:val="es-ES"/>
    </w:rPr>
  </w:style>
  <w:style w:type="character" w:styleId="Textodelmarcadordeposicin">
    <w:name w:val="Placeholder Text"/>
    <w:basedOn w:val="Fuentedeprrafopredeter"/>
    <w:uiPriority w:val="99"/>
    <w:semiHidden/>
    <w:rsid w:val="003917B0"/>
    <w:rPr>
      <w:color w:val="808080"/>
    </w:rPr>
  </w:style>
  <w:style w:type="paragraph" w:styleId="TtuloTDC">
    <w:name w:val="TOC Heading"/>
    <w:basedOn w:val="Ttulo1"/>
    <w:next w:val="Normal"/>
    <w:uiPriority w:val="39"/>
    <w:unhideWhenUsed/>
    <w:qFormat/>
    <w:rsid w:val="001228C8"/>
    <w:pPr>
      <w:numPr>
        <w:numId w:val="0"/>
      </w:numPr>
      <w:spacing w:line="259" w:lineRule="auto"/>
      <w:outlineLvl w:val="9"/>
    </w:pPr>
    <w:rPr>
      <w:rFonts w:asciiTheme="majorHAnsi" w:hAnsiTheme="majorHAnsi"/>
      <w:b w:val="0"/>
      <w:sz w:val="32"/>
      <w:lang w:eastAsia="es-ES"/>
    </w:rPr>
  </w:style>
  <w:style w:type="paragraph" w:styleId="TDC1">
    <w:name w:val="toc 1"/>
    <w:basedOn w:val="Normal"/>
    <w:next w:val="Normal"/>
    <w:autoRedefine/>
    <w:uiPriority w:val="39"/>
    <w:unhideWhenUsed/>
    <w:rsid w:val="001228C8"/>
    <w:pPr>
      <w:spacing w:after="100"/>
    </w:pPr>
  </w:style>
  <w:style w:type="paragraph" w:styleId="TDC3">
    <w:name w:val="toc 3"/>
    <w:basedOn w:val="Normal"/>
    <w:next w:val="Normal"/>
    <w:autoRedefine/>
    <w:uiPriority w:val="39"/>
    <w:unhideWhenUsed/>
    <w:rsid w:val="001228C8"/>
    <w:pPr>
      <w:spacing w:after="100"/>
      <w:ind w:left="440"/>
    </w:pPr>
  </w:style>
  <w:style w:type="paragraph" w:styleId="TDC2">
    <w:name w:val="toc 2"/>
    <w:basedOn w:val="Normal"/>
    <w:next w:val="Normal"/>
    <w:autoRedefine/>
    <w:uiPriority w:val="39"/>
    <w:unhideWhenUsed/>
    <w:rsid w:val="00111B9F"/>
    <w:pPr>
      <w:spacing w:after="100"/>
      <w:ind w:left="220"/>
    </w:pPr>
  </w:style>
  <w:style w:type="paragraph" w:customStyle="1" w:styleId="Default">
    <w:name w:val="Default"/>
    <w:rsid w:val="00F2528B"/>
    <w:pPr>
      <w:autoSpaceDE w:val="0"/>
      <w:autoSpaceDN w:val="0"/>
      <w:adjustRightInd w:val="0"/>
      <w:spacing w:after="0" w:line="240" w:lineRule="auto"/>
    </w:pPr>
    <w:rPr>
      <w:rFonts w:ascii="Century Gothic" w:hAnsi="Century Gothic" w:cs="Century Gothic"/>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6284">
      <w:bodyDiv w:val="1"/>
      <w:marLeft w:val="0"/>
      <w:marRight w:val="0"/>
      <w:marTop w:val="0"/>
      <w:marBottom w:val="0"/>
      <w:divBdr>
        <w:top w:val="none" w:sz="0" w:space="0" w:color="auto"/>
        <w:left w:val="none" w:sz="0" w:space="0" w:color="auto"/>
        <w:bottom w:val="none" w:sz="0" w:space="0" w:color="auto"/>
        <w:right w:val="none" w:sz="0" w:space="0" w:color="auto"/>
      </w:divBdr>
    </w:div>
    <w:div w:id="172305515">
      <w:bodyDiv w:val="1"/>
      <w:marLeft w:val="0"/>
      <w:marRight w:val="0"/>
      <w:marTop w:val="0"/>
      <w:marBottom w:val="0"/>
      <w:divBdr>
        <w:top w:val="none" w:sz="0" w:space="0" w:color="auto"/>
        <w:left w:val="none" w:sz="0" w:space="0" w:color="auto"/>
        <w:bottom w:val="none" w:sz="0" w:space="0" w:color="auto"/>
        <w:right w:val="none" w:sz="0" w:space="0" w:color="auto"/>
      </w:divBdr>
    </w:div>
    <w:div w:id="185293587">
      <w:bodyDiv w:val="1"/>
      <w:marLeft w:val="0"/>
      <w:marRight w:val="0"/>
      <w:marTop w:val="0"/>
      <w:marBottom w:val="0"/>
      <w:divBdr>
        <w:top w:val="none" w:sz="0" w:space="0" w:color="auto"/>
        <w:left w:val="none" w:sz="0" w:space="0" w:color="auto"/>
        <w:bottom w:val="none" w:sz="0" w:space="0" w:color="auto"/>
        <w:right w:val="none" w:sz="0" w:space="0" w:color="auto"/>
      </w:divBdr>
    </w:div>
    <w:div w:id="220098579">
      <w:bodyDiv w:val="1"/>
      <w:marLeft w:val="0"/>
      <w:marRight w:val="0"/>
      <w:marTop w:val="0"/>
      <w:marBottom w:val="0"/>
      <w:divBdr>
        <w:top w:val="none" w:sz="0" w:space="0" w:color="auto"/>
        <w:left w:val="none" w:sz="0" w:space="0" w:color="auto"/>
        <w:bottom w:val="none" w:sz="0" w:space="0" w:color="auto"/>
        <w:right w:val="none" w:sz="0" w:space="0" w:color="auto"/>
      </w:divBdr>
    </w:div>
    <w:div w:id="277612512">
      <w:bodyDiv w:val="1"/>
      <w:marLeft w:val="0"/>
      <w:marRight w:val="0"/>
      <w:marTop w:val="0"/>
      <w:marBottom w:val="0"/>
      <w:divBdr>
        <w:top w:val="none" w:sz="0" w:space="0" w:color="auto"/>
        <w:left w:val="none" w:sz="0" w:space="0" w:color="auto"/>
        <w:bottom w:val="none" w:sz="0" w:space="0" w:color="auto"/>
        <w:right w:val="none" w:sz="0" w:space="0" w:color="auto"/>
      </w:divBdr>
    </w:div>
    <w:div w:id="280456259">
      <w:bodyDiv w:val="1"/>
      <w:marLeft w:val="0"/>
      <w:marRight w:val="0"/>
      <w:marTop w:val="0"/>
      <w:marBottom w:val="0"/>
      <w:divBdr>
        <w:top w:val="none" w:sz="0" w:space="0" w:color="auto"/>
        <w:left w:val="none" w:sz="0" w:space="0" w:color="auto"/>
        <w:bottom w:val="none" w:sz="0" w:space="0" w:color="auto"/>
        <w:right w:val="none" w:sz="0" w:space="0" w:color="auto"/>
      </w:divBdr>
    </w:div>
    <w:div w:id="384917177">
      <w:bodyDiv w:val="1"/>
      <w:marLeft w:val="0"/>
      <w:marRight w:val="0"/>
      <w:marTop w:val="0"/>
      <w:marBottom w:val="0"/>
      <w:divBdr>
        <w:top w:val="none" w:sz="0" w:space="0" w:color="auto"/>
        <w:left w:val="none" w:sz="0" w:space="0" w:color="auto"/>
        <w:bottom w:val="none" w:sz="0" w:space="0" w:color="auto"/>
        <w:right w:val="none" w:sz="0" w:space="0" w:color="auto"/>
      </w:divBdr>
      <w:divsChild>
        <w:div w:id="1221866020">
          <w:marLeft w:val="1123"/>
          <w:marRight w:val="0"/>
          <w:marTop w:val="77"/>
          <w:marBottom w:val="0"/>
          <w:divBdr>
            <w:top w:val="none" w:sz="0" w:space="0" w:color="auto"/>
            <w:left w:val="none" w:sz="0" w:space="0" w:color="auto"/>
            <w:bottom w:val="none" w:sz="0" w:space="0" w:color="auto"/>
            <w:right w:val="none" w:sz="0" w:space="0" w:color="auto"/>
          </w:divBdr>
        </w:div>
        <w:div w:id="2126994661">
          <w:marLeft w:val="1123"/>
          <w:marRight w:val="0"/>
          <w:marTop w:val="77"/>
          <w:marBottom w:val="0"/>
          <w:divBdr>
            <w:top w:val="none" w:sz="0" w:space="0" w:color="auto"/>
            <w:left w:val="none" w:sz="0" w:space="0" w:color="auto"/>
            <w:bottom w:val="none" w:sz="0" w:space="0" w:color="auto"/>
            <w:right w:val="none" w:sz="0" w:space="0" w:color="auto"/>
          </w:divBdr>
        </w:div>
        <w:div w:id="1322538694">
          <w:marLeft w:val="1123"/>
          <w:marRight w:val="0"/>
          <w:marTop w:val="77"/>
          <w:marBottom w:val="0"/>
          <w:divBdr>
            <w:top w:val="none" w:sz="0" w:space="0" w:color="auto"/>
            <w:left w:val="none" w:sz="0" w:space="0" w:color="auto"/>
            <w:bottom w:val="none" w:sz="0" w:space="0" w:color="auto"/>
            <w:right w:val="none" w:sz="0" w:space="0" w:color="auto"/>
          </w:divBdr>
        </w:div>
      </w:divsChild>
    </w:div>
    <w:div w:id="415640377">
      <w:bodyDiv w:val="1"/>
      <w:marLeft w:val="0"/>
      <w:marRight w:val="0"/>
      <w:marTop w:val="0"/>
      <w:marBottom w:val="0"/>
      <w:divBdr>
        <w:top w:val="none" w:sz="0" w:space="0" w:color="auto"/>
        <w:left w:val="none" w:sz="0" w:space="0" w:color="auto"/>
        <w:bottom w:val="none" w:sz="0" w:space="0" w:color="auto"/>
        <w:right w:val="none" w:sz="0" w:space="0" w:color="auto"/>
      </w:divBdr>
    </w:div>
    <w:div w:id="432094405">
      <w:bodyDiv w:val="1"/>
      <w:marLeft w:val="0"/>
      <w:marRight w:val="0"/>
      <w:marTop w:val="0"/>
      <w:marBottom w:val="0"/>
      <w:divBdr>
        <w:top w:val="none" w:sz="0" w:space="0" w:color="auto"/>
        <w:left w:val="none" w:sz="0" w:space="0" w:color="auto"/>
        <w:bottom w:val="none" w:sz="0" w:space="0" w:color="auto"/>
        <w:right w:val="none" w:sz="0" w:space="0" w:color="auto"/>
      </w:divBdr>
    </w:div>
    <w:div w:id="440535094">
      <w:bodyDiv w:val="1"/>
      <w:marLeft w:val="0"/>
      <w:marRight w:val="0"/>
      <w:marTop w:val="0"/>
      <w:marBottom w:val="0"/>
      <w:divBdr>
        <w:top w:val="none" w:sz="0" w:space="0" w:color="auto"/>
        <w:left w:val="none" w:sz="0" w:space="0" w:color="auto"/>
        <w:bottom w:val="none" w:sz="0" w:space="0" w:color="auto"/>
        <w:right w:val="none" w:sz="0" w:space="0" w:color="auto"/>
      </w:divBdr>
    </w:div>
    <w:div w:id="514541805">
      <w:bodyDiv w:val="1"/>
      <w:marLeft w:val="0"/>
      <w:marRight w:val="0"/>
      <w:marTop w:val="0"/>
      <w:marBottom w:val="0"/>
      <w:divBdr>
        <w:top w:val="none" w:sz="0" w:space="0" w:color="auto"/>
        <w:left w:val="none" w:sz="0" w:space="0" w:color="auto"/>
        <w:bottom w:val="none" w:sz="0" w:space="0" w:color="auto"/>
        <w:right w:val="none" w:sz="0" w:space="0" w:color="auto"/>
      </w:divBdr>
    </w:div>
    <w:div w:id="524556521">
      <w:bodyDiv w:val="1"/>
      <w:marLeft w:val="0"/>
      <w:marRight w:val="0"/>
      <w:marTop w:val="0"/>
      <w:marBottom w:val="0"/>
      <w:divBdr>
        <w:top w:val="none" w:sz="0" w:space="0" w:color="auto"/>
        <w:left w:val="none" w:sz="0" w:space="0" w:color="auto"/>
        <w:bottom w:val="none" w:sz="0" w:space="0" w:color="auto"/>
        <w:right w:val="none" w:sz="0" w:space="0" w:color="auto"/>
      </w:divBdr>
    </w:div>
    <w:div w:id="633604556">
      <w:bodyDiv w:val="1"/>
      <w:marLeft w:val="0"/>
      <w:marRight w:val="0"/>
      <w:marTop w:val="0"/>
      <w:marBottom w:val="0"/>
      <w:divBdr>
        <w:top w:val="none" w:sz="0" w:space="0" w:color="auto"/>
        <w:left w:val="none" w:sz="0" w:space="0" w:color="auto"/>
        <w:bottom w:val="none" w:sz="0" w:space="0" w:color="auto"/>
        <w:right w:val="none" w:sz="0" w:space="0" w:color="auto"/>
      </w:divBdr>
    </w:div>
    <w:div w:id="646324574">
      <w:bodyDiv w:val="1"/>
      <w:marLeft w:val="0"/>
      <w:marRight w:val="0"/>
      <w:marTop w:val="0"/>
      <w:marBottom w:val="0"/>
      <w:divBdr>
        <w:top w:val="none" w:sz="0" w:space="0" w:color="auto"/>
        <w:left w:val="none" w:sz="0" w:space="0" w:color="auto"/>
        <w:bottom w:val="none" w:sz="0" w:space="0" w:color="auto"/>
        <w:right w:val="none" w:sz="0" w:space="0" w:color="auto"/>
      </w:divBdr>
    </w:div>
    <w:div w:id="710808818">
      <w:bodyDiv w:val="1"/>
      <w:marLeft w:val="0"/>
      <w:marRight w:val="0"/>
      <w:marTop w:val="0"/>
      <w:marBottom w:val="0"/>
      <w:divBdr>
        <w:top w:val="none" w:sz="0" w:space="0" w:color="auto"/>
        <w:left w:val="none" w:sz="0" w:space="0" w:color="auto"/>
        <w:bottom w:val="none" w:sz="0" w:space="0" w:color="auto"/>
        <w:right w:val="none" w:sz="0" w:space="0" w:color="auto"/>
      </w:divBdr>
    </w:div>
    <w:div w:id="718437217">
      <w:bodyDiv w:val="1"/>
      <w:marLeft w:val="0"/>
      <w:marRight w:val="0"/>
      <w:marTop w:val="0"/>
      <w:marBottom w:val="0"/>
      <w:divBdr>
        <w:top w:val="none" w:sz="0" w:space="0" w:color="auto"/>
        <w:left w:val="none" w:sz="0" w:space="0" w:color="auto"/>
        <w:bottom w:val="none" w:sz="0" w:space="0" w:color="auto"/>
        <w:right w:val="none" w:sz="0" w:space="0" w:color="auto"/>
      </w:divBdr>
    </w:div>
    <w:div w:id="738750187">
      <w:bodyDiv w:val="1"/>
      <w:marLeft w:val="0"/>
      <w:marRight w:val="0"/>
      <w:marTop w:val="0"/>
      <w:marBottom w:val="0"/>
      <w:divBdr>
        <w:top w:val="none" w:sz="0" w:space="0" w:color="auto"/>
        <w:left w:val="none" w:sz="0" w:space="0" w:color="auto"/>
        <w:bottom w:val="none" w:sz="0" w:space="0" w:color="auto"/>
        <w:right w:val="none" w:sz="0" w:space="0" w:color="auto"/>
      </w:divBdr>
    </w:div>
    <w:div w:id="758526311">
      <w:bodyDiv w:val="1"/>
      <w:marLeft w:val="0"/>
      <w:marRight w:val="0"/>
      <w:marTop w:val="0"/>
      <w:marBottom w:val="0"/>
      <w:divBdr>
        <w:top w:val="none" w:sz="0" w:space="0" w:color="auto"/>
        <w:left w:val="none" w:sz="0" w:space="0" w:color="auto"/>
        <w:bottom w:val="none" w:sz="0" w:space="0" w:color="auto"/>
        <w:right w:val="none" w:sz="0" w:space="0" w:color="auto"/>
      </w:divBdr>
    </w:div>
    <w:div w:id="777721938">
      <w:bodyDiv w:val="1"/>
      <w:marLeft w:val="0"/>
      <w:marRight w:val="0"/>
      <w:marTop w:val="0"/>
      <w:marBottom w:val="0"/>
      <w:divBdr>
        <w:top w:val="none" w:sz="0" w:space="0" w:color="auto"/>
        <w:left w:val="none" w:sz="0" w:space="0" w:color="auto"/>
        <w:bottom w:val="none" w:sz="0" w:space="0" w:color="auto"/>
        <w:right w:val="none" w:sz="0" w:space="0" w:color="auto"/>
      </w:divBdr>
    </w:div>
    <w:div w:id="782655791">
      <w:bodyDiv w:val="1"/>
      <w:marLeft w:val="0"/>
      <w:marRight w:val="0"/>
      <w:marTop w:val="0"/>
      <w:marBottom w:val="0"/>
      <w:divBdr>
        <w:top w:val="none" w:sz="0" w:space="0" w:color="auto"/>
        <w:left w:val="none" w:sz="0" w:space="0" w:color="auto"/>
        <w:bottom w:val="none" w:sz="0" w:space="0" w:color="auto"/>
        <w:right w:val="none" w:sz="0" w:space="0" w:color="auto"/>
      </w:divBdr>
      <w:divsChild>
        <w:div w:id="1848253461">
          <w:marLeft w:val="1123"/>
          <w:marRight w:val="0"/>
          <w:marTop w:val="77"/>
          <w:marBottom w:val="0"/>
          <w:divBdr>
            <w:top w:val="none" w:sz="0" w:space="0" w:color="auto"/>
            <w:left w:val="none" w:sz="0" w:space="0" w:color="auto"/>
            <w:bottom w:val="none" w:sz="0" w:space="0" w:color="auto"/>
            <w:right w:val="none" w:sz="0" w:space="0" w:color="auto"/>
          </w:divBdr>
        </w:div>
        <w:div w:id="648556277">
          <w:marLeft w:val="1123"/>
          <w:marRight w:val="0"/>
          <w:marTop w:val="77"/>
          <w:marBottom w:val="0"/>
          <w:divBdr>
            <w:top w:val="none" w:sz="0" w:space="0" w:color="auto"/>
            <w:left w:val="none" w:sz="0" w:space="0" w:color="auto"/>
            <w:bottom w:val="none" w:sz="0" w:space="0" w:color="auto"/>
            <w:right w:val="none" w:sz="0" w:space="0" w:color="auto"/>
          </w:divBdr>
        </w:div>
        <w:div w:id="1296570614">
          <w:marLeft w:val="1123"/>
          <w:marRight w:val="0"/>
          <w:marTop w:val="77"/>
          <w:marBottom w:val="0"/>
          <w:divBdr>
            <w:top w:val="none" w:sz="0" w:space="0" w:color="auto"/>
            <w:left w:val="none" w:sz="0" w:space="0" w:color="auto"/>
            <w:bottom w:val="none" w:sz="0" w:space="0" w:color="auto"/>
            <w:right w:val="none" w:sz="0" w:space="0" w:color="auto"/>
          </w:divBdr>
        </w:div>
      </w:divsChild>
    </w:div>
    <w:div w:id="831725476">
      <w:bodyDiv w:val="1"/>
      <w:marLeft w:val="0"/>
      <w:marRight w:val="0"/>
      <w:marTop w:val="0"/>
      <w:marBottom w:val="0"/>
      <w:divBdr>
        <w:top w:val="none" w:sz="0" w:space="0" w:color="auto"/>
        <w:left w:val="none" w:sz="0" w:space="0" w:color="auto"/>
        <w:bottom w:val="none" w:sz="0" w:space="0" w:color="auto"/>
        <w:right w:val="none" w:sz="0" w:space="0" w:color="auto"/>
      </w:divBdr>
    </w:div>
    <w:div w:id="833688350">
      <w:bodyDiv w:val="1"/>
      <w:marLeft w:val="0"/>
      <w:marRight w:val="0"/>
      <w:marTop w:val="0"/>
      <w:marBottom w:val="0"/>
      <w:divBdr>
        <w:top w:val="none" w:sz="0" w:space="0" w:color="auto"/>
        <w:left w:val="none" w:sz="0" w:space="0" w:color="auto"/>
        <w:bottom w:val="none" w:sz="0" w:space="0" w:color="auto"/>
        <w:right w:val="none" w:sz="0" w:space="0" w:color="auto"/>
      </w:divBdr>
    </w:div>
    <w:div w:id="839665303">
      <w:bodyDiv w:val="1"/>
      <w:marLeft w:val="0"/>
      <w:marRight w:val="0"/>
      <w:marTop w:val="0"/>
      <w:marBottom w:val="0"/>
      <w:divBdr>
        <w:top w:val="none" w:sz="0" w:space="0" w:color="auto"/>
        <w:left w:val="none" w:sz="0" w:space="0" w:color="auto"/>
        <w:bottom w:val="none" w:sz="0" w:space="0" w:color="auto"/>
        <w:right w:val="none" w:sz="0" w:space="0" w:color="auto"/>
      </w:divBdr>
    </w:div>
    <w:div w:id="885724247">
      <w:bodyDiv w:val="1"/>
      <w:marLeft w:val="0"/>
      <w:marRight w:val="0"/>
      <w:marTop w:val="0"/>
      <w:marBottom w:val="0"/>
      <w:divBdr>
        <w:top w:val="none" w:sz="0" w:space="0" w:color="auto"/>
        <w:left w:val="none" w:sz="0" w:space="0" w:color="auto"/>
        <w:bottom w:val="none" w:sz="0" w:space="0" w:color="auto"/>
        <w:right w:val="none" w:sz="0" w:space="0" w:color="auto"/>
      </w:divBdr>
    </w:div>
    <w:div w:id="962733529">
      <w:bodyDiv w:val="1"/>
      <w:marLeft w:val="0"/>
      <w:marRight w:val="0"/>
      <w:marTop w:val="0"/>
      <w:marBottom w:val="0"/>
      <w:divBdr>
        <w:top w:val="none" w:sz="0" w:space="0" w:color="auto"/>
        <w:left w:val="none" w:sz="0" w:space="0" w:color="auto"/>
        <w:bottom w:val="none" w:sz="0" w:space="0" w:color="auto"/>
        <w:right w:val="none" w:sz="0" w:space="0" w:color="auto"/>
      </w:divBdr>
    </w:div>
    <w:div w:id="1030760881">
      <w:bodyDiv w:val="1"/>
      <w:marLeft w:val="0"/>
      <w:marRight w:val="0"/>
      <w:marTop w:val="0"/>
      <w:marBottom w:val="0"/>
      <w:divBdr>
        <w:top w:val="none" w:sz="0" w:space="0" w:color="auto"/>
        <w:left w:val="none" w:sz="0" w:space="0" w:color="auto"/>
        <w:bottom w:val="none" w:sz="0" w:space="0" w:color="auto"/>
        <w:right w:val="none" w:sz="0" w:space="0" w:color="auto"/>
      </w:divBdr>
    </w:div>
    <w:div w:id="1209418942">
      <w:bodyDiv w:val="1"/>
      <w:marLeft w:val="0"/>
      <w:marRight w:val="0"/>
      <w:marTop w:val="0"/>
      <w:marBottom w:val="0"/>
      <w:divBdr>
        <w:top w:val="none" w:sz="0" w:space="0" w:color="auto"/>
        <w:left w:val="none" w:sz="0" w:space="0" w:color="auto"/>
        <w:bottom w:val="none" w:sz="0" w:space="0" w:color="auto"/>
        <w:right w:val="none" w:sz="0" w:space="0" w:color="auto"/>
      </w:divBdr>
    </w:div>
    <w:div w:id="1258053102">
      <w:bodyDiv w:val="1"/>
      <w:marLeft w:val="0"/>
      <w:marRight w:val="0"/>
      <w:marTop w:val="0"/>
      <w:marBottom w:val="0"/>
      <w:divBdr>
        <w:top w:val="none" w:sz="0" w:space="0" w:color="auto"/>
        <w:left w:val="none" w:sz="0" w:space="0" w:color="auto"/>
        <w:bottom w:val="none" w:sz="0" w:space="0" w:color="auto"/>
        <w:right w:val="none" w:sz="0" w:space="0" w:color="auto"/>
      </w:divBdr>
    </w:div>
    <w:div w:id="1385567923">
      <w:bodyDiv w:val="1"/>
      <w:marLeft w:val="0"/>
      <w:marRight w:val="0"/>
      <w:marTop w:val="0"/>
      <w:marBottom w:val="0"/>
      <w:divBdr>
        <w:top w:val="none" w:sz="0" w:space="0" w:color="auto"/>
        <w:left w:val="none" w:sz="0" w:space="0" w:color="auto"/>
        <w:bottom w:val="none" w:sz="0" w:space="0" w:color="auto"/>
        <w:right w:val="none" w:sz="0" w:space="0" w:color="auto"/>
      </w:divBdr>
    </w:div>
    <w:div w:id="1408723591">
      <w:bodyDiv w:val="1"/>
      <w:marLeft w:val="0"/>
      <w:marRight w:val="0"/>
      <w:marTop w:val="0"/>
      <w:marBottom w:val="0"/>
      <w:divBdr>
        <w:top w:val="none" w:sz="0" w:space="0" w:color="auto"/>
        <w:left w:val="none" w:sz="0" w:space="0" w:color="auto"/>
        <w:bottom w:val="none" w:sz="0" w:space="0" w:color="auto"/>
        <w:right w:val="none" w:sz="0" w:space="0" w:color="auto"/>
      </w:divBdr>
    </w:div>
    <w:div w:id="1420835176">
      <w:bodyDiv w:val="1"/>
      <w:marLeft w:val="0"/>
      <w:marRight w:val="0"/>
      <w:marTop w:val="0"/>
      <w:marBottom w:val="0"/>
      <w:divBdr>
        <w:top w:val="none" w:sz="0" w:space="0" w:color="auto"/>
        <w:left w:val="none" w:sz="0" w:space="0" w:color="auto"/>
        <w:bottom w:val="none" w:sz="0" w:space="0" w:color="auto"/>
        <w:right w:val="none" w:sz="0" w:space="0" w:color="auto"/>
      </w:divBdr>
    </w:div>
    <w:div w:id="1468279410">
      <w:bodyDiv w:val="1"/>
      <w:marLeft w:val="0"/>
      <w:marRight w:val="0"/>
      <w:marTop w:val="0"/>
      <w:marBottom w:val="0"/>
      <w:divBdr>
        <w:top w:val="none" w:sz="0" w:space="0" w:color="auto"/>
        <w:left w:val="none" w:sz="0" w:space="0" w:color="auto"/>
        <w:bottom w:val="none" w:sz="0" w:space="0" w:color="auto"/>
        <w:right w:val="none" w:sz="0" w:space="0" w:color="auto"/>
      </w:divBdr>
    </w:div>
    <w:div w:id="1492090806">
      <w:bodyDiv w:val="1"/>
      <w:marLeft w:val="0"/>
      <w:marRight w:val="0"/>
      <w:marTop w:val="0"/>
      <w:marBottom w:val="0"/>
      <w:divBdr>
        <w:top w:val="none" w:sz="0" w:space="0" w:color="auto"/>
        <w:left w:val="none" w:sz="0" w:space="0" w:color="auto"/>
        <w:bottom w:val="none" w:sz="0" w:space="0" w:color="auto"/>
        <w:right w:val="none" w:sz="0" w:space="0" w:color="auto"/>
      </w:divBdr>
    </w:div>
    <w:div w:id="1519192952">
      <w:bodyDiv w:val="1"/>
      <w:marLeft w:val="0"/>
      <w:marRight w:val="0"/>
      <w:marTop w:val="0"/>
      <w:marBottom w:val="0"/>
      <w:divBdr>
        <w:top w:val="none" w:sz="0" w:space="0" w:color="auto"/>
        <w:left w:val="none" w:sz="0" w:space="0" w:color="auto"/>
        <w:bottom w:val="none" w:sz="0" w:space="0" w:color="auto"/>
        <w:right w:val="none" w:sz="0" w:space="0" w:color="auto"/>
      </w:divBdr>
    </w:div>
    <w:div w:id="1548372166">
      <w:bodyDiv w:val="1"/>
      <w:marLeft w:val="0"/>
      <w:marRight w:val="0"/>
      <w:marTop w:val="0"/>
      <w:marBottom w:val="0"/>
      <w:divBdr>
        <w:top w:val="none" w:sz="0" w:space="0" w:color="auto"/>
        <w:left w:val="none" w:sz="0" w:space="0" w:color="auto"/>
        <w:bottom w:val="none" w:sz="0" w:space="0" w:color="auto"/>
        <w:right w:val="none" w:sz="0" w:space="0" w:color="auto"/>
      </w:divBdr>
    </w:div>
    <w:div w:id="1687512341">
      <w:bodyDiv w:val="1"/>
      <w:marLeft w:val="0"/>
      <w:marRight w:val="0"/>
      <w:marTop w:val="0"/>
      <w:marBottom w:val="0"/>
      <w:divBdr>
        <w:top w:val="none" w:sz="0" w:space="0" w:color="auto"/>
        <w:left w:val="none" w:sz="0" w:space="0" w:color="auto"/>
        <w:bottom w:val="none" w:sz="0" w:space="0" w:color="auto"/>
        <w:right w:val="none" w:sz="0" w:space="0" w:color="auto"/>
      </w:divBdr>
      <w:divsChild>
        <w:div w:id="1456874684">
          <w:marLeft w:val="1050"/>
          <w:marRight w:val="1050"/>
          <w:marTop w:val="75"/>
          <w:marBottom w:val="0"/>
          <w:divBdr>
            <w:top w:val="none" w:sz="0" w:space="0" w:color="auto"/>
            <w:left w:val="none" w:sz="0" w:space="0" w:color="auto"/>
            <w:bottom w:val="none" w:sz="0" w:space="0" w:color="auto"/>
            <w:right w:val="none" w:sz="0" w:space="0" w:color="auto"/>
          </w:divBdr>
        </w:div>
      </w:divsChild>
    </w:div>
    <w:div w:id="1726568153">
      <w:bodyDiv w:val="1"/>
      <w:marLeft w:val="0"/>
      <w:marRight w:val="0"/>
      <w:marTop w:val="0"/>
      <w:marBottom w:val="0"/>
      <w:divBdr>
        <w:top w:val="none" w:sz="0" w:space="0" w:color="auto"/>
        <w:left w:val="none" w:sz="0" w:space="0" w:color="auto"/>
        <w:bottom w:val="none" w:sz="0" w:space="0" w:color="auto"/>
        <w:right w:val="none" w:sz="0" w:space="0" w:color="auto"/>
      </w:divBdr>
    </w:div>
    <w:div w:id="1793085727">
      <w:bodyDiv w:val="1"/>
      <w:marLeft w:val="0"/>
      <w:marRight w:val="0"/>
      <w:marTop w:val="0"/>
      <w:marBottom w:val="0"/>
      <w:divBdr>
        <w:top w:val="none" w:sz="0" w:space="0" w:color="auto"/>
        <w:left w:val="none" w:sz="0" w:space="0" w:color="auto"/>
        <w:bottom w:val="none" w:sz="0" w:space="0" w:color="auto"/>
        <w:right w:val="none" w:sz="0" w:space="0" w:color="auto"/>
      </w:divBdr>
    </w:div>
    <w:div w:id="1806266977">
      <w:bodyDiv w:val="1"/>
      <w:marLeft w:val="0"/>
      <w:marRight w:val="0"/>
      <w:marTop w:val="0"/>
      <w:marBottom w:val="0"/>
      <w:divBdr>
        <w:top w:val="none" w:sz="0" w:space="0" w:color="auto"/>
        <w:left w:val="none" w:sz="0" w:space="0" w:color="auto"/>
        <w:bottom w:val="none" w:sz="0" w:space="0" w:color="auto"/>
        <w:right w:val="none" w:sz="0" w:space="0" w:color="auto"/>
      </w:divBdr>
    </w:div>
    <w:div w:id="1944221748">
      <w:bodyDiv w:val="1"/>
      <w:marLeft w:val="0"/>
      <w:marRight w:val="0"/>
      <w:marTop w:val="0"/>
      <w:marBottom w:val="0"/>
      <w:divBdr>
        <w:top w:val="none" w:sz="0" w:space="0" w:color="auto"/>
        <w:left w:val="none" w:sz="0" w:space="0" w:color="auto"/>
        <w:bottom w:val="none" w:sz="0" w:space="0" w:color="auto"/>
        <w:right w:val="none" w:sz="0" w:space="0" w:color="auto"/>
      </w:divBdr>
    </w:div>
    <w:div w:id="2004314180">
      <w:bodyDiv w:val="1"/>
      <w:marLeft w:val="0"/>
      <w:marRight w:val="0"/>
      <w:marTop w:val="0"/>
      <w:marBottom w:val="0"/>
      <w:divBdr>
        <w:top w:val="none" w:sz="0" w:space="0" w:color="auto"/>
        <w:left w:val="none" w:sz="0" w:space="0" w:color="auto"/>
        <w:bottom w:val="none" w:sz="0" w:space="0" w:color="auto"/>
        <w:right w:val="none" w:sz="0" w:space="0" w:color="auto"/>
      </w:divBdr>
    </w:div>
    <w:div w:id="2016102750">
      <w:bodyDiv w:val="1"/>
      <w:marLeft w:val="0"/>
      <w:marRight w:val="0"/>
      <w:marTop w:val="0"/>
      <w:marBottom w:val="0"/>
      <w:divBdr>
        <w:top w:val="none" w:sz="0" w:space="0" w:color="auto"/>
        <w:left w:val="none" w:sz="0" w:space="0" w:color="auto"/>
        <w:bottom w:val="none" w:sz="0" w:space="0" w:color="auto"/>
        <w:right w:val="none" w:sz="0" w:space="0" w:color="auto"/>
      </w:divBdr>
    </w:div>
    <w:div w:id="2021471793">
      <w:bodyDiv w:val="1"/>
      <w:marLeft w:val="0"/>
      <w:marRight w:val="0"/>
      <w:marTop w:val="0"/>
      <w:marBottom w:val="0"/>
      <w:divBdr>
        <w:top w:val="none" w:sz="0" w:space="0" w:color="auto"/>
        <w:left w:val="none" w:sz="0" w:space="0" w:color="auto"/>
        <w:bottom w:val="none" w:sz="0" w:space="0" w:color="auto"/>
        <w:right w:val="none" w:sz="0" w:space="0" w:color="auto"/>
      </w:divBdr>
    </w:div>
    <w:div w:id="2107268073">
      <w:bodyDiv w:val="1"/>
      <w:marLeft w:val="0"/>
      <w:marRight w:val="0"/>
      <w:marTop w:val="0"/>
      <w:marBottom w:val="0"/>
      <w:divBdr>
        <w:top w:val="none" w:sz="0" w:space="0" w:color="auto"/>
        <w:left w:val="none" w:sz="0" w:space="0" w:color="auto"/>
        <w:bottom w:val="none" w:sz="0" w:space="0" w:color="auto"/>
        <w:right w:val="none" w:sz="0" w:space="0" w:color="auto"/>
      </w:divBdr>
    </w:div>
    <w:div w:id="211893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dx.doi.org/10.1787/eco_surveys-chl-201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leychile.cl/Navegar?idNorma=268637&amp;idVersion=2012-09-07"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eychile.cl/N?i=268637&amp;f=2012-09-07&amp;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storga\Minecon\Evaluaci&#243;n%20Ley%20I+D\Estad&#237;stica%20descriptiva%20Ley%20I+D,%20v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martner\Desktop\Estudio%20ley%20I+D%20con%20ROD\922015031p1g158.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martner\Desktop\Temas\Estudios\Evaluaciones%20%20internas\Estudio%20ley%20I+D%20con%20ROD\Gr&#225;ficos%20estudio%20ley%20I+D%20trabajand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martner\Desktop\Estad&#237;stica%20descriptiva%20Ley%20I+D,%20v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martner\Desktop\Estudio%20ley%20I+D%20con%20ROD\Gr&#225;ficos%20estudio%20ley%20I+D%20trabajand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martner\Desktop\Estudio%20ley%20I+D%20con%20ROD\Gr&#225;ficos%20estudio%20ley%20I+D%20trabajando.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martner\Desktop\Estudio%20ley%20I+D%20con%20ROD\Gr&#225;ficos%20estudio%20ley%20I+D%20trabajando.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martner\Desktop\Estudio%20ley%20I+D%20con%20ROD\Gr&#225;ficos%20estudio%20ley%20I+D%20trabajando.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martner\Desktop\Estudio%20ley%20I+D%20con%20ROD\Gr&#225;ficos%20estudio%20ley%20I+D%20trabajando.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rastorga\Minecon\Evaluaci&#243;n%20Ley%20I+D\27052015%20Gr&#225;ficos%20estudio%20ley%20I+D.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'gráfico 14'!$AA$1</c:f>
              <c:strCache>
                <c:ptCount val="1"/>
                <c:pt idx="0">
                  <c:v>Argentina</c:v>
                </c:pt>
              </c:strCache>
            </c:strRef>
          </c:tx>
          <c:spPr>
            <a:ln w="28575" cap="rnd">
              <a:solidFill>
                <a:schemeClr val="accent1">
                  <a:lumMod val="60000"/>
                  <a:lumOff val="40000"/>
                </a:schemeClr>
              </a:solidFill>
              <a:round/>
            </a:ln>
            <a:effectLst/>
          </c:spPr>
          <c:marker>
            <c:symbol val="none"/>
          </c:marker>
          <c:val>
            <c:numRef>
              <c:f>'gráfico 14'!$AA$2:$AA$53</c:f>
              <c:numCache>
                <c:formatCode>_(* #,##0.00_);_(* \(#,##0.00\);_(* "-"??_);_(@_)</c:formatCode>
                <c:ptCount val="52"/>
                <c:pt idx="0">
                  <c:v>0.23213403204121918</c:v>
                </c:pt>
                <c:pt idx="1">
                  <c:v>0.23101813281180283</c:v>
                </c:pt>
                <c:pt idx="2">
                  <c:v>0.22762764831280041</c:v>
                </c:pt>
                <c:pt idx="3">
                  <c:v>0.22073312381569521</c:v>
                </c:pt>
                <c:pt idx="4">
                  <c:v>0.22395374128643131</c:v>
                </c:pt>
                <c:pt idx="5">
                  <c:v>0.22721588156695033</c:v>
                </c:pt>
                <c:pt idx="6">
                  <c:v>0.222643982966022</c:v>
                </c:pt>
                <c:pt idx="7">
                  <c:v>0.22827465800389393</c:v>
                </c:pt>
                <c:pt idx="8">
                  <c:v>0.22881175914392871</c:v>
                </c:pt>
                <c:pt idx="9">
                  <c:v>0.23749886294988182</c:v>
                </c:pt>
                <c:pt idx="10">
                  <c:v>0.23603965191292589</c:v>
                </c:pt>
                <c:pt idx="11">
                  <c:v>0.23892398359367001</c:v>
                </c:pt>
                <c:pt idx="12">
                  <c:v>0.23495886379401876</c:v>
                </c:pt>
                <c:pt idx="13">
                  <c:v>0.23391267579993447</c:v>
                </c:pt>
                <c:pt idx="14">
                  <c:v>0.25134039261404506</c:v>
                </c:pt>
                <c:pt idx="15">
                  <c:v>0.2594867793660971</c:v>
                </c:pt>
                <c:pt idx="16">
                  <c:v>0.2361391616002769</c:v>
                </c:pt>
                <c:pt idx="17">
                  <c:v>0.24281721712256157</c:v>
                </c:pt>
                <c:pt idx="18">
                  <c:v>0.23061288503570984</c:v>
                </c:pt>
                <c:pt idx="19">
                  <c:v>0.25132519743511683</c:v>
                </c:pt>
                <c:pt idx="20">
                  <c:v>0.26036737027182461</c:v>
                </c:pt>
                <c:pt idx="21">
                  <c:v>0.23376599878914578</c:v>
                </c:pt>
                <c:pt idx="22">
                  <c:v>0.21607736852141424</c:v>
                </c:pt>
                <c:pt idx="23">
                  <c:v>0.21628568113357113</c:v>
                </c:pt>
                <c:pt idx="24">
                  <c:v>0.21025379242523537</c:v>
                </c:pt>
                <c:pt idx="25">
                  <c:v>0.18737710141955646</c:v>
                </c:pt>
                <c:pt idx="26">
                  <c:v>0.20162631118302604</c:v>
                </c:pt>
                <c:pt idx="27">
                  <c:v>0.1976041221430567</c:v>
                </c:pt>
                <c:pt idx="28">
                  <c:v>0.18624389094518098</c:v>
                </c:pt>
                <c:pt idx="29">
                  <c:v>0.16690588103685811</c:v>
                </c:pt>
                <c:pt idx="30">
                  <c:v>0.15913511021707744</c:v>
                </c:pt>
                <c:pt idx="31">
                  <c:v>0.17483384363049526</c:v>
                </c:pt>
                <c:pt idx="32">
                  <c:v>0.1884624456010508</c:v>
                </c:pt>
                <c:pt idx="33">
                  <c:v>0.19694124557178519</c:v>
                </c:pt>
                <c:pt idx="34">
                  <c:v>0.20528792851211553</c:v>
                </c:pt>
                <c:pt idx="35">
                  <c:v>0.191740304815743</c:v>
                </c:pt>
                <c:pt idx="36">
                  <c:v>0.19671711684810905</c:v>
                </c:pt>
                <c:pt idx="37">
                  <c:v>0.20982029039245173</c:v>
                </c:pt>
                <c:pt idx="38">
                  <c:v>0.2124311737828167</c:v>
                </c:pt>
                <c:pt idx="39">
                  <c:v>0.19814121526425157</c:v>
                </c:pt>
                <c:pt idx="40">
                  <c:v>0.18926604424503676</c:v>
                </c:pt>
                <c:pt idx="41">
                  <c:v>0.17641710213860332</c:v>
                </c:pt>
                <c:pt idx="42">
                  <c:v>0.17305239706779257</c:v>
                </c:pt>
                <c:pt idx="43">
                  <c:v>0.17405370111914659</c:v>
                </c:pt>
                <c:pt idx="44">
                  <c:v>0.17378032360816786</c:v>
                </c:pt>
                <c:pt idx="45">
                  <c:v>0.17479733093389491</c:v>
                </c:pt>
                <c:pt idx="46">
                  <c:v>0.1807592516148977</c:v>
                </c:pt>
                <c:pt idx="47">
                  <c:v>0.19281675829169426</c:v>
                </c:pt>
                <c:pt idx="48">
                  <c:v>0.19466518853241685</c:v>
                </c:pt>
                <c:pt idx="49">
                  <c:v>0.19589607588924637</c:v>
                </c:pt>
                <c:pt idx="50">
                  <c:v>0.20456689955605661</c:v>
                </c:pt>
                <c:pt idx="51">
                  <c:v>0.21397362082996782</c:v>
                </c:pt>
              </c:numCache>
            </c:numRef>
          </c:val>
          <c:smooth val="0"/>
          <c:extLst>
            <c:ext xmlns:c16="http://schemas.microsoft.com/office/drawing/2014/chart" uri="{C3380CC4-5D6E-409C-BE32-E72D297353CC}">
              <c16:uniqueId val="{00000000-EB87-443B-A700-C7E7964AD1E3}"/>
            </c:ext>
          </c:extLst>
        </c:ser>
        <c:ser>
          <c:idx val="1"/>
          <c:order val="1"/>
          <c:tx>
            <c:strRef>
              <c:f>'gráfico 14'!$AB$1</c:f>
              <c:strCache>
                <c:ptCount val="1"/>
                <c:pt idx="0">
                  <c:v>Brasil</c:v>
                </c:pt>
              </c:strCache>
            </c:strRef>
          </c:tx>
          <c:spPr>
            <a:ln w="28575" cap="rnd">
              <a:solidFill>
                <a:schemeClr val="accent1">
                  <a:lumMod val="75000"/>
                </a:schemeClr>
              </a:solidFill>
              <a:round/>
            </a:ln>
            <a:effectLst/>
          </c:spPr>
          <c:marker>
            <c:symbol val="none"/>
          </c:marker>
          <c:cat>
            <c:numRef>
              <c:f>'gráfico 14'!$A$2:$A$53</c:f>
              <c:numCache>
                <c:formatCode>General</c:formatCode>
                <c:ptCount val="5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numCache>
            </c:numRef>
          </c:cat>
          <c:val>
            <c:numRef>
              <c:f>'gráfico 14'!$AB$2:$AB$53</c:f>
              <c:numCache>
                <c:formatCode>_(* #,##0.00_);_(* \(#,##0.00\);_(* "-"??_);_(@_)</c:formatCode>
                <c:ptCount val="52"/>
                <c:pt idx="0">
                  <c:v>0.11273936757474913</c:v>
                </c:pt>
                <c:pt idx="1">
                  <c:v>0.11857858182012315</c:v>
                </c:pt>
                <c:pt idx="2">
                  <c:v>0.11677097979983811</c:v>
                </c:pt>
                <c:pt idx="3">
                  <c:v>0.11176611655997792</c:v>
                </c:pt>
                <c:pt idx="4">
                  <c:v>0.10908591460795405</c:v>
                </c:pt>
                <c:pt idx="5">
                  <c:v>0.10550892592549296</c:v>
                </c:pt>
                <c:pt idx="6">
                  <c:v>0.10355642925561787</c:v>
                </c:pt>
                <c:pt idx="7">
                  <c:v>0.10543897785632629</c:v>
                </c:pt>
                <c:pt idx="8">
                  <c:v>0.11131170541414845</c:v>
                </c:pt>
                <c:pt idx="9">
                  <c:v>0.11810505709096994</c:v>
                </c:pt>
                <c:pt idx="10">
                  <c:v>0.1253923490030712</c:v>
                </c:pt>
                <c:pt idx="11">
                  <c:v>0.1288801491308452</c:v>
                </c:pt>
                <c:pt idx="12">
                  <c:v>0.13480642880536803</c:v>
                </c:pt>
                <c:pt idx="13">
                  <c:v>0.13371844034539959</c:v>
                </c:pt>
                <c:pt idx="14">
                  <c:v>0.14588706219488509</c:v>
                </c:pt>
                <c:pt idx="15">
                  <c:v>0.14827445615120174</c:v>
                </c:pt>
                <c:pt idx="16">
                  <c:v>0.1552443098943499</c:v>
                </c:pt>
                <c:pt idx="17">
                  <c:v>0.14722980030597752</c:v>
                </c:pt>
                <c:pt idx="18">
                  <c:v>0.14592434440081339</c:v>
                </c:pt>
                <c:pt idx="19">
                  <c:v>0.15791004979543027</c:v>
                </c:pt>
                <c:pt idx="20">
                  <c:v>0.17573920871761922</c:v>
                </c:pt>
                <c:pt idx="21">
                  <c:v>0.1598321861422983</c:v>
                </c:pt>
                <c:pt idx="22">
                  <c:v>0.15459795180096911</c:v>
                </c:pt>
                <c:pt idx="23">
                  <c:v>0.14414155745591653</c:v>
                </c:pt>
                <c:pt idx="24">
                  <c:v>0.14064480220371645</c:v>
                </c:pt>
                <c:pt idx="25">
                  <c:v>0.13599532249625051</c:v>
                </c:pt>
                <c:pt idx="26">
                  <c:v>0.14483711677630476</c:v>
                </c:pt>
                <c:pt idx="27">
                  <c:v>0.14440809542697841</c:v>
                </c:pt>
                <c:pt idx="28">
                  <c:v>0.13759150580840043</c:v>
                </c:pt>
                <c:pt idx="29">
                  <c:v>0.13680376727570251</c:v>
                </c:pt>
                <c:pt idx="30">
                  <c:v>0.12694286548375752</c:v>
                </c:pt>
                <c:pt idx="31">
                  <c:v>0.1264740767080452</c:v>
                </c:pt>
                <c:pt idx="32">
                  <c:v>0.1214254207726982</c:v>
                </c:pt>
                <c:pt idx="33">
                  <c:v>0.12436233560435357</c:v>
                </c:pt>
                <c:pt idx="34">
                  <c:v>0.12698745265740449</c:v>
                </c:pt>
                <c:pt idx="35">
                  <c:v>0.12916925151614214</c:v>
                </c:pt>
                <c:pt idx="36">
                  <c:v>0.13211040153728731</c:v>
                </c:pt>
                <c:pt idx="37">
                  <c:v>0.13287460489818961</c:v>
                </c:pt>
                <c:pt idx="38">
                  <c:v>0.12786698538370661</c:v>
                </c:pt>
                <c:pt idx="39">
                  <c:v>0.12265450371001185</c:v>
                </c:pt>
                <c:pt idx="40">
                  <c:v>0.11792312096150255</c:v>
                </c:pt>
                <c:pt idx="41">
                  <c:v>0.11766742552277749</c:v>
                </c:pt>
                <c:pt idx="42">
                  <c:v>0.11420029839913914</c:v>
                </c:pt>
                <c:pt idx="43">
                  <c:v>0.11178998076371061</c:v>
                </c:pt>
                <c:pt idx="44">
                  <c:v>0.10931582964829693</c:v>
                </c:pt>
                <c:pt idx="45">
                  <c:v>0.10796655636163595</c:v>
                </c:pt>
                <c:pt idx="46">
                  <c:v>0.10904484615162072</c:v>
                </c:pt>
                <c:pt idx="47">
                  <c:v>0.11349661108541557</c:v>
                </c:pt>
                <c:pt idx="48">
                  <c:v>0.11533160972838773</c:v>
                </c:pt>
                <c:pt idx="49">
                  <c:v>0.11314994974815659</c:v>
                </c:pt>
                <c:pt idx="50">
                  <c:v>0.1143356428561815</c:v>
                </c:pt>
                <c:pt idx="51">
                  <c:v>0.11413312694102516</c:v>
                </c:pt>
              </c:numCache>
            </c:numRef>
          </c:val>
          <c:smooth val="0"/>
          <c:extLst>
            <c:ext xmlns:c16="http://schemas.microsoft.com/office/drawing/2014/chart" uri="{C3380CC4-5D6E-409C-BE32-E72D297353CC}">
              <c16:uniqueId val="{00000001-EB87-443B-A700-C7E7964AD1E3}"/>
            </c:ext>
          </c:extLst>
        </c:ser>
        <c:ser>
          <c:idx val="2"/>
          <c:order val="2"/>
          <c:tx>
            <c:strRef>
              <c:f>'gráfico 14'!$AC$1</c:f>
              <c:strCache>
                <c:ptCount val="1"/>
                <c:pt idx="0">
                  <c:v>Chile</c:v>
                </c:pt>
              </c:strCache>
            </c:strRef>
          </c:tx>
          <c:spPr>
            <a:ln w="28575" cap="rnd">
              <a:solidFill>
                <a:srgbClr val="C00000"/>
              </a:solidFill>
              <a:round/>
            </a:ln>
            <a:effectLst/>
          </c:spPr>
          <c:marker>
            <c:symbol val="none"/>
          </c:marker>
          <c:cat>
            <c:numRef>
              <c:f>'gráfico 14'!$A$2:$A$53</c:f>
              <c:numCache>
                <c:formatCode>General</c:formatCode>
                <c:ptCount val="5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numCache>
            </c:numRef>
          </c:cat>
          <c:val>
            <c:numRef>
              <c:f>'gráfico 14'!$AC$2:$AC$53</c:f>
              <c:numCache>
                <c:formatCode>_(* #,##0.00_);_(* \(#,##0.00\);_(* "-"??_);_(@_)</c:formatCode>
                <c:ptCount val="52"/>
                <c:pt idx="0">
                  <c:v>0.19142663114645031</c:v>
                </c:pt>
                <c:pt idx="1">
                  <c:v>0.19222023888128165</c:v>
                </c:pt>
                <c:pt idx="2">
                  <c:v>0.18991093687836474</c:v>
                </c:pt>
                <c:pt idx="3">
                  <c:v>0.19261983995163645</c:v>
                </c:pt>
                <c:pt idx="4">
                  <c:v>0.18797326624424501</c:v>
                </c:pt>
                <c:pt idx="5">
                  <c:v>0.17912190688871163</c:v>
                </c:pt>
                <c:pt idx="6">
                  <c:v>0.18736840437230945</c:v>
                </c:pt>
                <c:pt idx="7">
                  <c:v>0.19094865682769027</c:v>
                </c:pt>
                <c:pt idx="8">
                  <c:v>0.19120676992445762</c:v>
                </c:pt>
                <c:pt idx="9">
                  <c:v>0.19326175762102307</c:v>
                </c:pt>
                <c:pt idx="10">
                  <c:v>0.19484228069868917</c:v>
                </c:pt>
                <c:pt idx="11">
                  <c:v>0.20313560266173886</c:v>
                </c:pt>
                <c:pt idx="12">
                  <c:v>0.19508301814657525</c:v>
                </c:pt>
                <c:pt idx="13">
                  <c:v>0.1788858363237418</c:v>
                </c:pt>
                <c:pt idx="14">
                  <c:v>0.18269491335683599</c:v>
                </c:pt>
                <c:pt idx="15">
                  <c:v>0.15865110361026069</c:v>
                </c:pt>
                <c:pt idx="16">
                  <c:v>0.15819011902662589</c:v>
                </c:pt>
                <c:pt idx="17">
                  <c:v>0.16764785365183543</c:v>
                </c:pt>
                <c:pt idx="18">
                  <c:v>0.17472214530908511</c:v>
                </c:pt>
                <c:pt idx="19">
                  <c:v>0.18500446293192907</c:v>
                </c:pt>
                <c:pt idx="20">
                  <c:v>0.2140251832486075</c:v>
                </c:pt>
                <c:pt idx="21">
                  <c:v>0.21773039088246587</c:v>
                </c:pt>
                <c:pt idx="22">
                  <c:v>0.19790727383958845</c:v>
                </c:pt>
                <c:pt idx="23">
                  <c:v>0.17719294207267797</c:v>
                </c:pt>
                <c:pt idx="24">
                  <c:v>0.17828262773641965</c:v>
                </c:pt>
                <c:pt idx="25">
                  <c:v>0.16907392679203015</c:v>
                </c:pt>
                <c:pt idx="26">
                  <c:v>0.16863985819809638</c:v>
                </c:pt>
                <c:pt idx="27">
                  <c:v>0.17187980350953316</c:v>
                </c:pt>
                <c:pt idx="28">
                  <c:v>0.17423717850953174</c:v>
                </c:pt>
                <c:pt idx="29">
                  <c:v>0.18313963798113347</c:v>
                </c:pt>
                <c:pt idx="30">
                  <c:v>0.18263911791421128</c:v>
                </c:pt>
                <c:pt idx="31">
                  <c:v>0.18846850445590588</c:v>
                </c:pt>
                <c:pt idx="32">
                  <c:v>0.19846138835143876</c:v>
                </c:pt>
                <c:pt idx="33">
                  <c:v>0.20483086243088519</c:v>
                </c:pt>
                <c:pt idx="34">
                  <c:v>0.2085862237172427</c:v>
                </c:pt>
                <c:pt idx="35">
                  <c:v>0.2248421634414699</c:v>
                </c:pt>
                <c:pt idx="36">
                  <c:v>0.23091414685107847</c:v>
                </c:pt>
                <c:pt idx="37">
                  <c:v>0.23698620986532426</c:v>
                </c:pt>
                <c:pt idx="38">
                  <c:v>0.23385870692643199</c:v>
                </c:pt>
                <c:pt idx="39">
                  <c:v>0.22113200733227609</c:v>
                </c:pt>
                <c:pt idx="40">
                  <c:v>0.22171156270318962</c:v>
                </c:pt>
                <c:pt idx="41">
                  <c:v>0.21698433357691613</c:v>
                </c:pt>
                <c:pt idx="42">
                  <c:v>0.21337982160511398</c:v>
                </c:pt>
                <c:pt idx="43">
                  <c:v>0.21133948939453429</c:v>
                </c:pt>
                <c:pt idx="44">
                  <c:v>0.21377839910745078</c:v>
                </c:pt>
                <c:pt idx="45">
                  <c:v>0.21429176362028529</c:v>
                </c:pt>
                <c:pt idx="46">
                  <c:v>0.20424884737739468</c:v>
                </c:pt>
                <c:pt idx="47">
                  <c:v>0.2119137963226608</c:v>
                </c:pt>
                <c:pt idx="48">
                  <c:v>0.2120005437045987</c:v>
                </c:pt>
                <c:pt idx="49">
                  <c:v>0.20943021450715443</c:v>
                </c:pt>
                <c:pt idx="50">
                  <c:v>0.19873444050759231</c:v>
                </c:pt>
                <c:pt idx="51">
                  <c:v>0.20633893794875258</c:v>
                </c:pt>
              </c:numCache>
            </c:numRef>
          </c:val>
          <c:smooth val="0"/>
          <c:extLst>
            <c:ext xmlns:c16="http://schemas.microsoft.com/office/drawing/2014/chart" uri="{C3380CC4-5D6E-409C-BE32-E72D297353CC}">
              <c16:uniqueId val="{00000002-EB87-443B-A700-C7E7964AD1E3}"/>
            </c:ext>
          </c:extLst>
        </c:ser>
        <c:ser>
          <c:idx val="3"/>
          <c:order val="3"/>
          <c:tx>
            <c:strRef>
              <c:f>'gráfico 14'!$AD$1</c:f>
              <c:strCache>
                <c:ptCount val="1"/>
                <c:pt idx="0">
                  <c:v>Rep. Corea</c:v>
                </c:pt>
              </c:strCache>
            </c:strRef>
          </c:tx>
          <c:spPr>
            <a:ln w="28575" cap="rnd">
              <a:solidFill>
                <a:schemeClr val="accent4">
                  <a:lumMod val="75000"/>
                </a:schemeClr>
              </a:solidFill>
              <a:round/>
            </a:ln>
            <a:effectLst/>
          </c:spPr>
          <c:marker>
            <c:symbol val="none"/>
          </c:marker>
          <c:cat>
            <c:numRef>
              <c:f>'gráfico 14'!$A$2:$A$53</c:f>
              <c:numCache>
                <c:formatCode>General</c:formatCode>
                <c:ptCount val="5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numCache>
            </c:numRef>
          </c:cat>
          <c:val>
            <c:numRef>
              <c:f>'gráfico 14'!$AD$2:$AD$53</c:f>
              <c:numCache>
                <c:formatCode>_(* #,##0.00_);_(* \(#,##0.00\);_(* "-"??_);_(@_)</c:formatCode>
                <c:ptCount val="52"/>
                <c:pt idx="0">
                  <c:v>0.10195606830078126</c:v>
                </c:pt>
                <c:pt idx="1">
                  <c:v>0.10079386424526435</c:v>
                </c:pt>
                <c:pt idx="2">
                  <c:v>9.5634644256327242E-2</c:v>
                </c:pt>
                <c:pt idx="3">
                  <c:v>9.8494339895783586E-2</c:v>
                </c:pt>
                <c:pt idx="4">
                  <c:v>0.10058110524201404</c:v>
                </c:pt>
                <c:pt idx="5">
                  <c:v>9.6597972605553334E-2</c:v>
                </c:pt>
                <c:pt idx="6">
                  <c:v>0.10252983951703536</c:v>
                </c:pt>
                <c:pt idx="7">
                  <c:v>0.10457731170054574</c:v>
                </c:pt>
                <c:pt idx="8">
                  <c:v>0.10814560486282616</c:v>
                </c:pt>
                <c:pt idx="9">
                  <c:v>0.11960206525261083</c:v>
                </c:pt>
                <c:pt idx="10">
                  <c:v>0.13075372472961919</c:v>
                </c:pt>
                <c:pt idx="11">
                  <c:v>0.13509894257127344</c:v>
                </c:pt>
                <c:pt idx="12">
                  <c:v>0.13437973977614276</c:v>
                </c:pt>
                <c:pt idx="13">
                  <c:v>0.14246006350919366</c:v>
                </c:pt>
                <c:pt idx="14">
                  <c:v>0.15259132742466303</c:v>
                </c:pt>
                <c:pt idx="15">
                  <c:v>0.15825627966316563</c:v>
                </c:pt>
                <c:pt idx="16">
                  <c:v>0.16562540624031005</c:v>
                </c:pt>
                <c:pt idx="17">
                  <c:v>0.17764151712791298</c:v>
                </c:pt>
                <c:pt idx="18">
                  <c:v>0.18492503895041701</c:v>
                </c:pt>
                <c:pt idx="19">
                  <c:v>0.19649199230055986</c:v>
                </c:pt>
                <c:pt idx="20">
                  <c:v>0.19277676378029004</c:v>
                </c:pt>
                <c:pt idx="21">
                  <c:v>0.1991630729982313</c:v>
                </c:pt>
                <c:pt idx="22">
                  <c:v>0.21230910564259892</c:v>
                </c:pt>
                <c:pt idx="23">
                  <c:v>0.22835436067954354</c:v>
                </c:pt>
                <c:pt idx="24">
                  <c:v>0.24411972730089915</c:v>
                </c:pt>
                <c:pt idx="25">
                  <c:v>0.24648267945474447</c:v>
                </c:pt>
                <c:pt idx="26">
                  <c:v>0.2630695401114746</c:v>
                </c:pt>
                <c:pt idx="27">
                  <c:v>0.27672628201370691</c:v>
                </c:pt>
                <c:pt idx="28">
                  <c:v>0.29337302416265143</c:v>
                </c:pt>
                <c:pt idx="29">
                  <c:v>0.29586968447549361</c:v>
                </c:pt>
                <c:pt idx="30">
                  <c:v>0.31122632572725628</c:v>
                </c:pt>
                <c:pt idx="31">
                  <c:v>0.32846256278204083</c:v>
                </c:pt>
                <c:pt idx="32">
                  <c:v>0.33081344145632047</c:v>
                </c:pt>
                <c:pt idx="33">
                  <c:v>0.34320032340448658</c:v>
                </c:pt>
                <c:pt idx="34">
                  <c:v>0.35581614006634465</c:v>
                </c:pt>
                <c:pt idx="35">
                  <c:v>0.37273246474843452</c:v>
                </c:pt>
                <c:pt idx="36">
                  <c:v>0.38289906198281559</c:v>
                </c:pt>
                <c:pt idx="37">
                  <c:v>0.39022971851109883</c:v>
                </c:pt>
                <c:pt idx="38">
                  <c:v>0.38146788038098767</c:v>
                </c:pt>
                <c:pt idx="39">
                  <c:v>0.403316838063696</c:v>
                </c:pt>
                <c:pt idx="40">
                  <c:v>0.4113385798828893</c:v>
                </c:pt>
                <c:pt idx="41">
                  <c:v>0.4191468093842024</c:v>
                </c:pt>
                <c:pt idx="42">
                  <c:v>0.43018032370482029</c:v>
                </c:pt>
                <c:pt idx="43">
                  <c:v>0.43548474898877093</c:v>
                </c:pt>
                <c:pt idx="44">
                  <c:v>0.43618966346460725</c:v>
                </c:pt>
                <c:pt idx="45">
                  <c:v>0.43981678084480819</c:v>
                </c:pt>
                <c:pt idx="46">
                  <c:v>0.45196880318189997</c:v>
                </c:pt>
                <c:pt idx="47">
                  <c:v>0.46656257238741095</c:v>
                </c:pt>
                <c:pt idx="48">
                  <c:v>0.47459035401500532</c:v>
                </c:pt>
                <c:pt idx="49">
                  <c:v>0.47389304496602058</c:v>
                </c:pt>
                <c:pt idx="50">
                  <c:v>0.48208110604254112</c:v>
                </c:pt>
                <c:pt idx="51">
                  <c:v>0.48588001406361697</c:v>
                </c:pt>
              </c:numCache>
            </c:numRef>
          </c:val>
          <c:smooth val="0"/>
          <c:extLst>
            <c:ext xmlns:c16="http://schemas.microsoft.com/office/drawing/2014/chart" uri="{C3380CC4-5D6E-409C-BE32-E72D297353CC}">
              <c16:uniqueId val="{00000003-EB87-443B-A700-C7E7964AD1E3}"/>
            </c:ext>
          </c:extLst>
        </c:ser>
        <c:ser>
          <c:idx val="4"/>
          <c:order val="4"/>
          <c:tx>
            <c:strRef>
              <c:f>'gráfico 14'!$AE$1</c:f>
              <c:strCache>
                <c:ptCount val="1"/>
                <c:pt idx="0">
                  <c:v>México</c:v>
                </c:pt>
              </c:strCache>
            </c:strRef>
          </c:tx>
          <c:spPr>
            <a:ln w="28575" cap="rnd">
              <a:solidFill>
                <a:schemeClr val="accent6">
                  <a:lumMod val="75000"/>
                </a:schemeClr>
              </a:solidFill>
              <a:round/>
            </a:ln>
            <a:effectLst/>
          </c:spPr>
          <c:marker>
            <c:symbol val="none"/>
          </c:marker>
          <c:cat>
            <c:numRef>
              <c:f>'gráfico 14'!$A$2:$A$53</c:f>
              <c:numCache>
                <c:formatCode>General</c:formatCode>
                <c:ptCount val="52"/>
                <c:pt idx="0">
                  <c:v>1960</c:v>
                </c:pt>
                <c:pt idx="1">
                  <c:v>1961</c:v>
                </c:pt>
                <c:pt idx="2">
                  <c:v>1962</c:v>
                </c:pt>
                <c:pt idx="3">
                  <c:v>1963</c:v>
                </c:pt>
                <c:pt idx="4">
                  <c:v>1964</c:v>
                </c:pt>
                <c:pt idx="5">
                  <c:v>1965</c:v>
                </c:pt>
                <c:pt idx="6">
                  <c:v>1966</c:v>
                </c:pt>
                <c:pt idx="7">
                  <c:v>1967</c:v>
                </c:pt>
                <c:pt idx="8">
                  <c:v>1968</c:v>
                </c:pt>
                <c:pt idx="9">
                  <c:v>1969</c:v>
                </c:pt>
                <c:pt idx="10">
                  <c:v>1970</c:v>
                </c:pt>
                <c:pt idx="11">
                  <c:v>1971</c:v>
                </c:pt>
                <c:pt idx="12">
                  <c:v>1972</c:v>
                </c:pt>
                <c:pt idx="13">
                  <c:v>1973</c:v>
                </c:pt>
                <c:pt idx="14">
                  <c:v>1974</c:v>
                </c:pt>
                <c:pt idx="15">
                  <c:v>1975</c:v>
                </c:pt>
                <c:pt idx="16">
                  <c:v>1976</c:v>
                </c:pt>
                <c:pt idx="17">
                  <c:v>1977</c:v>
                </c:pt>
                <c:pt idx="18">
                  <c:v>1978</c:v>
                </c:pt>
                <c:pt idx="19">
                  <c:v>1979</c:v>
                </c:pt>
                <c:pt idx="20">
                  <c:v>1980</c:v>
                </c:pt>
                <c:pt idx="21">
                  <c:v>1981</c:v>
                </c:pt>
                <c:pt idx="22">
                  <c:v>1982</c:v>
                </c:pt>
                <c:pt idx="23">
                  <c:v>1983</c:v>
                </c:pt>
                <c:pt idx="24">
                  <c:v>1984</c:v>
                </c:pt>
                <c:pt idx="25">
                  <c:v>1985</c:v>
                </c:pt>
                <c:pt idx="26">
                  <c:v>1986</c:v>
                </c:pt>
                <c:pt idx="27">
                  <c:v>1987</c:v>
                </c:pt>
                <c:pt idx="28">
                  <c:v>1988</c:v>
                </c:pt>
                <c:pt idx="29">
                  <c:v>1989</c:v>
                </c:pt>
                <c:pt idx="30">
                  <c:v>1990</c:v>
                </c:pt>
                <c:pt idx="31">
                  <c:v>1991</c:v>
                </c:pt>
                <c:pt idx="32">
                  <c:v>1992</c:v>
                </c:pt>
                <c:pt idx="33">
                  <c:v>1993</c:v>
                </c:pt>
                <c:pt idx="34">
                  <c:v>1994</c:v>
                </c:pt>
                <c:pt idx="35">
                  <c:v>1995</c:v>
                </c:pt>
                <c:pt idx="36">
                  <c:v>1996</c:v>
                </c:pt>
                <c:pt idx="37">
                  <c:v>1997</c:v>
                </c:pt>
                <c:pt idx="38">
                  <c:v>1998</c:v>
                </c:pt>
                <c:pt idx="39">
                  <c:v>1999</c:v>
                </c:pt>
                <c:pt idx="40">
                  <c:v>2000</c:v>
                </c:pt>
                <c:pt idx="41">
                  <c:v>2001</c:v>
                </c:pt>
                <c:pt idx="42">
                  <c:v>2002</c:v>
                </c:pt>
                <c:pt idx="43">
                  <c:v>2003</c:v>
                </c:pt>
                <c:pt idx="44">
                  <c:v>2004</c:v>
                </c:pt>
                <c:pt idx="45">
                  <c:v>2005</c:v>
                </c:pt>
                <c:pt idx="46">
                  <c:v>2006</c:v>
                </c:pt>
                <c:pt idx="47">
                  <c:v>2007</c:v>
                </c:pt>
                <c:pt idx="48">
                  <c:v>2008</c:v>
                </c:pt>
                <c:pt idx="49">
                  <c:v>2009</c:v>
                </c:pt>
                <c:pt idx="50">
                  <c:v>2010</c:v>
                </c:pt>
                <c:pt idx="51">
                  <c:v>2011</c:v>
                </c:pt>
              </c:numCache>
            </c:numRef>
          </c:cat>
          <c:val>
            <c:numRef>
              <c:f>'gráfico 14'!$AE$2:$AE$53</c:f>
              <c:numCache>
                <c:formatCode>_(* #,##0.00_);_(* \(#,##0.00\);_(* "-"??_);_(@_)</c:formatCode>
                <c:ptCount val="52"/>
                <c:pt idx="0">
                  <c:v>0.33215637845165369</c:v>
                </c:pt>
                <c:pt idx="1">
                  <c:v>0.3312198937752226</c:v>
                </c:pt>
                <c:pt idx="2">
                  <c:v>0.32321926233515064</c:v>
                </c:pt>
                <c:pt idx="3">
                  <c:v>0.33043359674302697</c:v>
                </c:pt>
                <c:pt idx="4">
                  <c:v>0.3477478125145409</c:v>
                </c:pt>
                <c:pt idx="5">
                  <c:v>0.34807016692517306</c:v>
                </c:pt>
                <c:pt idx="6">
                  <c:v>0.34623934660034722</c:v>
                </c:pt>
                <c:pt idx="7">
                  <c:v>0.35406178811569228</c:v>
                </c:pt>
                <c:pt idx="8">
                  <c:v>0.36557008023700716</c:v>
                </c:pt>
                <c:pt idx="9">
                  <c:v>0.36426240688632411</c:v>
                </c:pt>
                <c:pt idx="10">
                  <c:v>0.37666547601959149</c:v>
                </c:pt>
                <c:pt idx="11">
                  <c:v>0.35926231954236965</c:v>
                </c:pt>
                <c:pt idx="12">
                  <c:v>0.35963125730648671</c:v>
                </c:pt>
                <c:pt idx="13">
                  <c:v>0.35872393632458871</c:v>
                </c:pt>
                <c:pt idx="14">
                  <c:v>0.36738516435821772</c:v>
                </c:pt>
                <c:pt idx="15">
                  <c:v>0.36127266433944616</c:v>
                </c:pt>
                <c:pt idx="16">
                  <c:v>0.35323346703226377</c:v>
                </c:pt>
                <c:pt idx="17">
                  <c:v>0.34541664269373057</c:v>
                </c:pt>
                <c:pt idx="18">
                  <c:v>0.35318192935681109</c:v>
                </c:pt>
                <c:pt idx="19">
                  <c:v>0.3625012964749536</c:v>
                </c:pt>
                <c:pt idx="20">
                  <c:v>0.37388994383191881</c:v>
                </c:pt>
                <c:pt idx="21">
                  <c:v>0.38832431028242892</c:v>
                </c:pt>
                <c:pt idx="22">
                  <c:v>0.37808727599700431</c:v>
                </c:pt>
                <c:pt idx="23">
                  <c:v>0.35069120645217422</c:v>
                </c:pt>
                <c:pt idx="24">
                  <c:v>0.33975433584485037</c:v>
                </c:pt>
                <c:pt idx="25">
                  <c:v>0.32612179818459314</c:v>
                </c:pt>
                <c:pt idx="26">
                  <c:v>0.30105864124884074</c:v>
                </c:pt>
                <c:pt idx="27">
                  <c:v>0.29379296369885566</c:v>
                </c:pt>
                <c:pt idx="28">
                  <c:v>0.28197596031142369</c:v>
                </c:pt>
                <c:pt idx="29">
                  <c:v>0.27856059643161546</c:v>
                </c:pt>
                <c:pt idx="30">
                  <c:v>0.27988549613017466</c:v>
                </c:pt>
                <c:pt idx="31">
                  <c:v>0.27880924241918026</c:v>
                </c:pt>
                <c:pt idx="32">
                  <c:v>0.27318418756476709</c:v>
                </c:pt>
                <c:pt idx="33">
                  <c:v>0.27567423041267575</c:v>
                </c:pt>
                <c:pt idx="34">
                  <c:v>0.2755849092765163</c:v>
                </c:pt>
                <c:pt idx="35">
                  <c:v>0.26132932383655488</c:v>
                </c:pt>
                <c:pt idx="36">
                  <c:v>0.2597782481433783</c:v>
                </c:pt>
                <c:pt idx="37">
                  <c:v>0.25699170905634222</c:v>
                </c:pt>
                <c:pt idx="38">
                  <c:v>0.25462211253748462</c:v>
                </c:pt>
                <c:pt idx="39">
                  <c:v>0.25028434154268497</c:v>
                </c:pt>
                <c:pt idx="40">
                  <c:v>0.25135272108321194</c:v>
                </c:pt>
                <c:pt idx="41">
                  <c:v>0.24754342901780277</c:v>
                </c:pt>
                <c:pt idx="42">
                  <c:v>0.23747139489537994</c:v>
                </c:pt>
                <c:pt idx="43">
                  <c:v>0.23468297919839437</c:v>
                </c:pt>
                <c:pt idx="44">
                  <c:v>0.23049395174343953</c:v>
                </c:pt>
                <c:pt idx="45">
                  <c:v>0.23233879701325846</c:v>
                </c:pt>
                <c:pt idx="46">
                  <c:v>0.23370274530728227</c:v>
                </c:pt>
                <c:pt idx="47">
                  <c:v>0.23513353857858499</c:v>
                </c:pt>
                <c:pt idx="48">
                  <c:v>0.23233287670367322</c:v>
                </c:pt>
                <c:pt idx="49">
                  <c:v>0.22169513729683535</c:v>
                </c:pt>
                <c:pt idx="50">
                  <c:v>0.2233269342182202</c:v>
                </c:pt>
                <c:pt idx="51">
                  <c:v>0.22504144065519738</c:v>
                </c:pt>
              </c:numCache>
            </c:numRef>
          </c:val>
          <c:smooth val="0"/>
          <c:extLst>
            <c:ext xmlns:c16="http://schemas.microsoft.com/office/drawing/2014/chart" uri="{C3380CC4-5D6E-409C-BE32-E72D297353CC}">
              <c16:uniqueId val="{00000004-EB87-443B-A700-C7E7964AD1E3}"/>
            </c:ext>
          </c:extLst>
        </c:ser>
        <c:dLbls>
          <c:showLegendKey val="0"/>
          <c:showVal val="0"/>
          <c:showCatName val="0"/>
          <c:showSerName val="0"/>
          <c:showPercent val="0"/>
          <c:showBubbleSize val="0"/>
        </c:dLbls>
        <c:smooth val="0"/>
        <c:axId val="331501888"/>
        <c:axId val="331502448"/>
      </c:lineChart>
      <c:catAx>
        <c:axId val="3315018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31502448"/>
        <c:crosses val="autoZero"/>
        <c:auto val="1"/>
        <c:lblAlgn val="ctr"/>
        <c:lblOffset val="100"/>
        <c:tickLblSkip val="5"/>
        <c:tickMarkSkip val="5"/>
        <c:noMultiLvlLbl val="0"/>
      </c:catAx>
      <c:valAx>
        <c:axId val="331502448"/>
        <c:scaling>
          <c:orientation val="minMax"/>
          <c:max val="0.5"/>
          <c:min val="5.000000000000001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sz="900" b="0" i="0" baseline="0">
                    <a:effectLst/>
                  </a:rPr>
                  <a:t>Productividad laboral relativa a EE.UU. (%)</a:t>
                </a:r>
                <a:endParaRPr lang="es-CL" sz="90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_(* #,##0.00_);_(* \(#,##0.00\);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31501888"/>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5.4498320821378191E-2"/>
          <c:y val="0.10691894856426529"/>
          <c:w val="0.92731030085465604"/>
          <c:h val="0.71701962627805849"/>
        </c:manualLayout>
      </c:layout>
      <c:barChart>
        <c:barDir val="col"/>
        <c:grouping val="clustered"/>
        <c:varyColors val="0"/>
        <c:ser>
          <c:idx val="0"/>
          <c:order val="0"/>
          <c:tx>
            <c:strRef>
              <c:f>'[922015031p1g158.xls]CostR&amp;D_TaxSubsidy_e'!$C$13</c:f>
              <c:strCache>
                <c:ptCount val="1"/>
                <c:pt idx="0">
                  <c:v>Empresa grande, Utilidades &gt;0 </c:v>
                </c:pt>
              </c:strCache>
            </c:strRef>
          </c:tx>
          <c:spPr>
            <a:solidFill>
              <a:srgbClr val="C7B2D6"/>
            </a:solidFill>
            <a:ln w="28575">
              <a:noFill/>
            </a:ln>
          </c:spPr>
          <c:invertIfNegative val="0"/>
          <c:cat>
            <c:strRef>
              <c:f>'[922015031p1g158.xls]CostR&amp;D_TaxSubsidy_e'!$B$14:$B$49</c:f>
              <c:strCache>
                <c:ptCount val="36"/>
                <c:pt idx="0">
                  <c:v>FRA</c:v>
                </c:pt>
                <c:pt idx="1">
                  <c:v>PRT</c:v>
                </c:pt>
                <c:pt idx="2">
                  <c:v>ESP</c:v>
                </c:pt>
                <c:pt idx="3">
                  <c:v>CAN</c:v>
                </c:pt>
                <c:pt idx="4">
                  <c:v>GBR</c:v>
                </c:pt>
                <c:pt idx="5">
                  <c:v>IRL</c:v>
                </c:pt>
                <c:pt idx="6">
                  <c:v>CHL</c:v>
                </c:pt>
                <c:pt idx="7">
                  <c:v>KOR</c:v>
                </c:pt>
                <c:pt idx="8">
                  <c:v>TUR</c:v>
                </c:pt>
                <c:pt idx="9">
                  <c:v>CZE</c:v>
                </c:pt>
                <c:pt idx="10">
                  <c:v>ISL</c:v>
                </c:pt>
                <c:pt idx="11">
                  <c:v>NLD</c:v>
                </c:pt>
                <c:pt idx="12">
                  <c:v>AUS</c:v>
                </c:pt>
                <c:pt idx="13">
                  <c:v>NOR</c:v>
                </c:pt>
                <c:pt idx="14">
                  <c:v>SVN</c:v>
                </c:pt>
                <c:pt idx="15">
                  <c:v>HUN</c:v>
                </c:pt>
                <c:pt idx="16">
                  <c:v>ZAF</c:v>
                </c:pt>
                <c:pt idx="17">
                  <c:v>BRA</c:v>
                </c:pt>
                <c:pt idx="18">
                  <c:v>CHN</c:v>
                </c:pt>
                <c:pt idx="19">
                  <c:v>JPN</c:v>
                </c:pt>
                <c:pt idx="20">
                  <c:v>AUT</c:v>
                </c:pt>
                <c:pt idx="21">
                  <c:v>BEL</c:v>
                </c:pt>
                <c:pt idx="22">
                  <c:v>SVK</c:v>
                </c:pt>
                <c:pt idx="23">
                  <c:v>GRC</c:v>
                </c:pt>
                <c:pt idx="24">
                  <c:v>RUS</c:v>
                </c:pt>
                <c:pt idx="25">
                  <c:v>SWE</c:v>
                </c:pt>
                <c:pt idx="26">
                  <c:v>USA</c:v>
                </c:pt>
                <c:pt idx="27">
                  <c:v>ITA</c:v>
                </c:pt>
                <c:pt idx="28">
                  <c:v>POL</c:v>
                </c:pt>
                <c:pt idx="29">
                  <c:v>FIN</c:v>
                </c:pt>
                <c:pt idx="30">
                  <c:v>DNK</c:v>
                </c:pt>
                <c:pt idx="31">
                  <c:v>LUX</c:v>
                </c:pt>
                <c:pt idx="32">
                  <c:v>MEX</c:v>
                </c:pt>
                <c:pt idx="33">
                  <c:v>CHE</c:v>
                </c:pt>
                <c:pt idx="34">
                  <c:v>DEU</c:v>
                </c:pt>
                <c:pt idx="35">
                  <c:v>NZL</c:v>
                </c:pt>
              </c:strCache>
            </c:strRef>
          </c:cat>
          <c:val>
            <c:numRef>
              <c:f>'[922015031p1g158.xls]CostR&amp;D_TaxSubsidy_e'!$C$14:$C$49</c:f>
              <c:numCache>
                <c:formatCode>0.00</c:formatCode>
                <c:ptCount val="36"/>
                <c:pt idx="0">
                  <c:v>0.26</c:v>
                </c:pt>
                <c:pt idx="1">
                  <c:v>0.36</c:v>
                </c:pt>
                <c:pt idx="2">
                  <c:v>0.37</c:v>
                </c:pt>
                <c:pt idx="3">
                  <c:v>0.13</c:v>
                </c:pt>
                <c:pt idx="4">
                  <c:v>0.1</c:v>
                </c:pt>
                <c:pt idx="5">
                  <c:v>0.28999999999999998</c:v>
                </c:pt>
                <c:pt idx="6">
                  <c:v>0.13</c:v>
                </c:pt>
                <c:pt idx="7">
                  <c:v>0.04</c:v>
                </c:pt>
                <c:pt idx="8">
                  <c:v>0.23</c:v>
                </c:pt>
                <c:pt idx="9">
                  <c:v>0.23</c:v>
                </c:pt>
                <c:pt idx="10">
                  <c:v>0.22</c:v>
                </c:pt>
                <c:pt idx="11">
                  <c:v>0.16</c:v>
                </c:pt>
                <c:pt idx="12">
                  <c:v>0.08</c:v>
                </c:pt>
                <c:pt idx="13">
                  <c:v>0.04</c:v>
                </c:pt>
                <c:pt idx="14">
                  <c:v>0.19</c:v>
                </c:pt>
                <c:pt idx="15">
                  <c:v>0.28000000000000003</c:v>
                </c:pt>
                <c:pt idx="16">
                  <c:v>0.16</c:v>
                </c:pt>
                <c:pt idx="17">
                  <c:v>0.26</c:v>
                </c:pt>
                <c:pt idx="18">
                  <c:v>0.15</c:v>
                </c:pt>
                <c:pt idx="19">
                  <c:v>0.13</c:v>
                </c:pt>
                <c:pt idx="20">
                  <c:v>0.12</c:v>
                </c:pt>
                <c:pt idx="21">
                  <c:v>0.11</c:v>
                </c:pt>
                <c:pt idx="22">
                  <c:v>0.11</c:v>
                </c:pt>
                <c:pt idx="23">
                  <c:v>0.09</c:v>
                </c:pt>
                <c:pt idx="24">
                  <c:v>0.08</c:v>
                </c:pt>
                <c:pt idx="25">
                  <c:v>0.05</c:v>
                </c:pt>
                <c:pt idx="26">
                  <c:v>0.04</c:v>
                </c:pt>
                <c:pt idx="27">
                  <c:v>0.04</c:v>
                </c:pt>
                <c:pt idx="28">
                  <c:v>0</c:v>
                </c:pt>
                <c:pt idx="29">
                  <c:v>-0.01</c:v>
                </c:pt>
                <c:pt idx="30">
                  <c:v>-0.01</c:v>
                </c:pt>
                <c:pt idx="31">
                  <c:v>-0.01</c:v>
                </c:pt>
                <c:pt idx="32">
                  <c:v>-0.01</c:v>
                </c:pt>
                <c:pt idx="33">
                  <c:v>-0.01</c:v>
                </c:pt>
                <c:pt idx="34">
                  <c:v>-0.02</c:v>
                </c:pt>
                <c:pt idx="35">
                  <c:v>-0.02</c:v>
                </c:pt>
              </c:numCache>
            </c:numRef>
          </c:val>
          <c:extLst>
            <c:ext xmlns:c16="http://schemas.microsoft.com/office/drawing/2014/chart" uri="{C3380CC4-5D6E-409C-BE32-E72D297353CC}">
              <c16:uniqueId val="{00000000-9B97-429D-8857-7806B1EFBC3F}"/>
            </c:ext>
          </c:extLst>
        </c:ser>
        <c:dLbls>
          <c:showLegendKey val="0"/>
          <c:showVal val="0"/>
          <c:showCatName val="0"/>
          <c:showSerName val="0"/>
          <c:showPercent val="0"/>
          <c:showBubbleSize val="0"/>
        </c:dLbls>
        <c:gapWidth val="46"/>
        <c:overlap val="-28"/>
        <c:axId val="2056647887"/>
        <c:axId val="1"/>
      </c:barChart>
      <c:lineChart>
        <c:grouping val="standard"/>
        <c:varyColors val="0"/>
        <c:ser>
          <c:idx val="1"/>
          <c:order val="1"/>
          <c:tx>
            <c:strRef>
              <c:f>'[922015031p1g158.xls]CostR&amp;D_TaxSubsidy_e'!$D$13</c:f>
              <c:strCache>
                <c:ptCount val="1"/>
                <c:pt idx="0">
                  <c:v>PYME,  Utilidades &gt;0 </c:v>
                </c:pt>
              </c:strCache>
            </c:strRef>
          </c:tx>
          <c:spPr>
            <a:ln w="25400">
              <a:noFill/>
            </a:ln>
          </c:spPr>
          <c:marker>
            <c:symbol val="none"/>
          </c:marker>
          <c:cat>
            <c:strRef>
              <c:f>'[922015031p1g158.xls]CostR&amp;D_TaxSubsidy_e'!$B$14:$B$49</c:f>
              <c:strCache>
                <c:ptCount val="36"/>
                <c:pt idx="0">
                  <c:v>FRA</c:v>
                </c:pt>
                <c:pt idx="1">
                  <c:v>PRT</c:v>
                </c:pt>
                <c:pt idx="2">
                  <c:v>ESP</c:v>
                </c:pt>
                <c:pt idx="3">
                  <c:v>CAN</c:v>
                </c:pt>
                <c:pt idx="4">
                  <c:v>GBR</c:v>
                </c:pt>
                <c:pt idx="5">
                  <c:v>IRL</c:v>
                </c:pt>
                <c:pt idx="6">
                  <c:v>CHL</c:v>
                </c:pt>
                <c:pt idx="7">
                  <c:v>KOR</c:v>
                </c:pt>
                <c:pt idx="8">
                  <c:v>TUR</c:v>
                </c:pt>
                <c:pt idx="9">
                  <c:v>CZE</c:v>
                </c:pt>
                <c:pt idx="10">
                  <c:v>ISL</c:v>
                </c:pt>
                <c:pt idx="11">
                  <c:v>NLD</c:v>
                </c:pt>
                <c:pt idx="12">
                  <c:v>AUS</c:v>
                </c:pt>
                <c:pt idx="13">
                  <c:v>NOR</c:v>
                </c:pt>
                <c:pt idx="14">
                  <c:v>SVN</c:v>
                </c:pt>
                <c:pt idx="15">
                  <c:v>HUN</c:v>
                </c:pt>
                <c:pt idx="16">
                  <c:v>ZAF</c:v>
                </c:pt>
                <c:pt idx="17">
                  <c:v>BRA</c:v>
                </c:pt>
                <c:pt idx="18">
                  <c:v>CHN</c:v>
                </c:pt>
                <c:pt idx="19">
                  <c:v>JPN</c:v>
                </c:pt>
                <c:pt idx="20">
                  <c:v>AUT</c:v>
                </c:pt>
                <c:pt idx="21">
                  <c:v>BEL</c:v>
                </c:pt>
                <c:pt idx="22">
                  <c:v>SVK</c:v>
                </c:pt>
                <c:pt idx="23">
                  <c:v>GRC</c:v>
                </c:pt>
                <c:pt idx="24">
                  <c:v>RUS</c:v>
                </c:pt>
                <c:pt idx="25">
                  <c:v>SWE</c:v>
                </c:pt>
                <c:pt idx="26">
                  <c:v>USA</c:v>
                </c:pt>
                <c:pt idx="27">
                  <c:v>ITA</c:v>
                </c:pt>
                <c:pt idx="28">
                  <c:v>POL</c:v>
                </c:pt>
                <c:pt idx="29">
                  <c:v>FIN</c:v>
                </c:pt>
                <c:pt idx="30">
                  <c:v>DNK</c:v>
                </c:pt>
                <c:pt idx="31">
                  <c:v>LUX</c:v>
                </c:pt>
                <c:pt idx="32">
                  <c:v>MEX</c:v>
                </c:pt>
                <c:pt idx="33">
                  <c:v>CHE</c:v>
                </c:pt>
                <c:pt idx="34">
                  <c:v>DEU</c:v>
                </c:pt>
                <c:pt idx="35">
                  <c:v>NZL</c:v>
                </c:pt>
              </c:strCache>
            </c:strRef>
          </c:cat>
          <c:val>
            <c:numRef>
              <c:f>'[922015031p1g158.xls]CostR&amp;D_TaxSubsidy_e'!$D$14:$D$49</c:f>
              <c:numCache>
                <c:formatCode>0.00</c:formatCode>
                <c:ptCount val="36"/>
                <c:pt idx="0">
                  <c:v>0.43</c:v>
                </c:pt>
                <c:pt idx="1">
                  <c:v>0.37</c:v>
                </c:pt>
                <c:pt idx="2">
                  <c:v>0.37</c:v>
                </c:pt>
                <c:pt idx="3">
                  <c:v>0.3</c:v>
                </c:pt>
                <c:pt idx="4">
                  <c:v>0.28999999999999998</c:v>
                </c:pt>
                <c:pt idx="5">
                  <c:v>0.28999999999999998</c:v>
                </c:pt>
                <c:pt idx="6">
                  <c:v>0.28999999999999998</c:v>
                </c:pt>
                <c:pt idx="7">
                  <c:v>0.26</c:v>
                </c:pt>
                <c:pt idx="8">
                  <c:v>0.23</c:v>
                </c:pt>
                <c:pt idx="9">
                  <c:v>0.23</c:v>
                </c:pt>
                <c:pt idx="10">
                  <c:v>0.22</c:v>
                </c:pt>
                <c:pt idx="11">
                  <c:v>0.22</c:v>
                </c:pt>
                <c:pt idx="12">
                  <c:v>0.2</c:v>
                </c:pt>
                <c:pt idx="13">
                  <c:v>0.19</c:v>
                </c:pt>
                <c:pt idx="14">
                  <c:v>0.19</c:v>
                </c:pt>
                <c:pt idx="15">
                  <c:v>0.19</c:v>
                </c:pt>
                <c:pt idx="16">
                  <c:v>0.16</c:v>
                </c:pt>
                <c:pt idx="17">
                  <c:v>0.16</c:v>
                </c:pt>
                <c:pt idx="18">
                  <c:v>0.15</c:v>
                </c:pt>
                <c:pt idx="19">
                  <c:v>0.15</c:v>
                </c:pt>
                <c:pt idx="20">
                  <c:v>0.12</c:v>
                </c:pt>
                <c:pt idx="21">
                  <c:v>0.11</c:v>
                </c:pt>
                <c:pt idx="22">
                  <c:v>0.11</c:v>
                </c:pt>
                <c:pt idx="23">
                  <c:v>0.09</c:v>
                </c:pt>
                <c:pt idx="24">
                  <c:v>0.08</c:v>
                </c:pt>
                <c:pt idx="25">
                  <c:v>0.05</c:v>
                </c:pt>
                <c:pt idx="26">
                  <c:v>0.04</c:v>
                </c:pt>
                <c:pt idx="27">
                  <c:v>0.04</c:v>
                </c:pt>
                <c:pt idx="28">
                  <c:v>0</c:v>
                </c:pt>
                <c:pt idx="29">
                  <c:v>-0.01</c:v>
                </c:pt>
                <c:pt idx="30">
                  <c:v>-0.01</c:v>
                </c:pt>
                <c:pt idx="31">
                  <c:v>-0.01</c:v>
                </c:pt>
                <c:pt idx="32">
                  <c:v>-0.01</c:v>
                </c:pt>
                <c:pt idx="33">
                  <c:v>-0.01</c:v>
                </c:pt>
                <c:pt idx="34">
                  <c:v>-0.02</c:v>
                </c:pt>
                <c:pt idx="35">
                  <c:v>-0.02</c:v>
                </c:pt>
              </c:numCache>
            </c:numRef>
          </c:val>
          <c:smooth val="0"/>
          <c:extLst>
            <c:ext xmlns:c16="http://schemas.microsoft.com/office/drawing/2014/chart" uri="{C3380CC4-5D6E-409C-BE32-E72D297353CC}">
              <c16:uniqueId val="{00000001-9B97-429D-8857-7806B1EFBC3F}"/>
            </c:ext>
          </c:extLst>
        </c:ser>
        <c:dLbls>
          <c:showLegendKey val="0"/>
          <c:showVal val="0"/>
          <c:showCatName val="0"/>
          <c:showSerName val="0"/>
          <c:showPercent val="0"/>
          <c:showBubbleSize val="0"/>
        </c:dLbls>
        <c:dropLines>
          <c:spPr>
            <a:ln w="38100">
              <a:solidFill>
                <a:srgbClr val="8B73B3"/>
              </a:solidFill>
            </a:ln>
          </c:spPr>
        </c:dropLines>
        <c:marker val="1"/>
        <c:smooth val="0"/>
        <c:axId val="2056647887"/>
        <c:axId val="1"/>
      </c:lineChart>
      <c:lineChart>
        <c:grouping val="standard"/>
        <c:varyColors val="0"/>
        <c:ser>
          <c:idx val="2"/>
          <c:order val="2"/>
          <c:tx>
            <c:strRef>
              <c:f>'[922015031p1g158.xls]CostR&amp;D_TaxSubsidy_e'!$E$13</c:f>
              <c:strCache>
                <c:ptCount val="1"/>
                <c:pt idx="0">
                  <c:v>Empresa grande, Utilidades &lt;0 </c:v>
                </c:pt>
              </c:strCache>
            </c:strRef>
          </c:tx>
          <c:spPr>
            <a:ln w="25400">
              <a:noFill/>
            </a:ln>
          </c:spPr>
          <c:marker>
            <c:symbol val="diamond"/>
            <c:size val="8"/>
            <c:spPr>
              <a:solidFill>
                <a:schemeClr val="bg1"/>
              </a:solidFill>
              <a:ln w="6350">
                <a:solidFill>
                  <a:srgbClr val="000000"/>
                </a:solidFill>
                <a:prstDash val="solid"/>
              </a:ln>
            </c:spPr>
          </c:marker>
          <c:cat>
            <c:strRef>
              <c:f>'[922015031p1g158.xls]CostR&amp;D_TaxSubsidy_e'!$B$14:$B$49</c:f>
              <c:strCache>
                <c:ptCount val="36"/>
                <c:pt idx="0">
                  <c:v>FRA</c:v>
                </c:pt>
                <c:pt idx="1">
                  <c:v>PRT</c:v>
                </c:pt>
                <c:pt idx="2">
                  <c:v>ESP</c:v>
                </c:pt>
                <c:pt idx="3">
                  <c:v>CAN</c:v>
                </c:pt>
                <c:pt idx="4">
                  <c:v>GBR</c:v>
                </c:pt>
                <c:pt idx="5">
                  <c:v>IRL</c:v>
                </c:pt>
                <c:pt idx="6">
                  <c:v>CHL</c:v>
                </c:pt>
                <c:pt idx="7">
                  <c:v>KOR</c:v>
                </c:pt>
                <c:pt idx="8">
                  <c:v>TUR</c:v>
                </c:pt>
                <c:pt idx="9">
                  <c:v>CZE</c:v>
                </c:pt>
                <c:pt idx="10">
                  <c:v>ISL</c:v>
                </c:pt>
                <c:pt idx="11">
                  <c:v>NLD</c:v>
                </c:pt>
                <c:pt idx="12">
                  <c:v>AUS</c:v>
                </c:pt>
                <c:pt idx="13">
                  <c:v>NOR</c:v>
                </c:pt>
                <c:pt idx="14">
                  <c:v>SVN</c:v>
                </c:pt>
                <c:pt idx="15">
                  <c:v>HUN</c:v>
                </c:pt>
                <c:pt idx="16">
                  <c:v>ZAF</c:v>
                </c:pt>
                <c:pt idx="17">
                  <c:v>BRA</c:v>
                </c:pt>
                <c:pt idx="18">
                  <c:v>CHN</c:v>
                </c:pt>
                <c:pt idx="19">
                  <c:v>JPN</c:v>
                </c:pt>
                <c:pt idx="20">
                  <c:v>AUT</c:v>
                </c:pt>
                <c:pt idx="21">
                  <c:v>BEL</c:v>
                </c:pt>
                <c:pt idx="22">
                  <c:v>SVK</c:v>
                </c:pt>
                <c:pt idx="23">
                  <c:v>GRC</c:v>
                </c:pt>
                <c:pt idx="24">
                  <c:v>RUS</c:v>
                </c:pt>
                <c:pt idx="25">
                  <c:v>SWE</c:v>
                </c:pt>
                <c:pt idx="26">
                  <c:v>USA</c:v>
                </c:pt>
                <c:pt idx="27">
                  <c:v>ITA</c:v>
                </c:pt>
                <c:pt idx="28">
                  <c:v>POL</c:v>
                </c:pt>
                <c:pt idx="29">
                  <c:v>FIN</c:v>
                </c:pt>
                <c:pt idx="30">
                  <c:v>DNK</c:v>
                </c:pt>
                <c:pt idx="31">
                  <c:v>LUX</c:v>
                </c:pt>
                <c:pt idx="32">
                  <c:v>MEX</c:v>
                </c:pt>
                <c:pt idx="33">
                  <c:v>CHE</c:v>
                </c:pt>
                <c:pt idx="34">
                  <c:v>DEU</c:v>
                </c:pt>
                <c:pt idx="35">
                  <c:v>NZL</c:v>
                </c:pt>
              </c:strCache>
            </c:strRef>
          </c:cat>
          <c:val>
            <c:numRef>
              <c:f>'[922015031p1g158.xls]CostR&amp;D_TaxSubsidy_e'!$E$14:$E$49</c:f>
              <c:numCache>
                <c:formatCode>0.00</c:formatCode>
                <c:ptCount val="36"/>
                <c:pt idx="0">
                  <c:v>0.22</c:v>
                </c:pt>
                <c:pt idx="1">
                  <c:v>0.28000000000000003</c:v>
                </c:pt>
                <c:pt idx="2">
                  <c:v>0.28999999999999998</c:v>
                </c:pt>
                <c:pt idx="3">
                  <c:v>0.1</c:v>
                </c:pt>
                <c:pt idx="4">
                  <c:v>0.1</c:v>
                </c:pt>
                <c:pt idx="5">
                  <c:v>0.23</c:v>
                </c:pt>
                <c:pt idx="6">
                  <c:v>0.1</c:v>
                </c:pt>
                <c:pt idx="7">
                  <c:v>0.03</c:v>
                </c:pt>
                <c:pt idx="8">
                  <c:v>0.18</c:v>
                </c:pt>
                <c:pt idx="9">
                  <c:v>0.17</c:v>
                </c:pt>
                <c:pt idx="10">
                  <c:v>0.22</c:v>
                </c:pt>
                <c:pt idx="11">
                  <c:v>0.14000000000000001</c:v>
                </c:pt>
                <c:pt idx="12">
                  <c:v>0.06</c:v>
                </c:pt>
                <c:pt idx="13">
                  <c:v>0.04</c:v>
                </c:pt>
                <c:pt idx="14">
                  <c:v>0.15</c:v>
                </c:pt>
                <c:pt idx="15">
                  <c:v>0.09</c:v>
                </c:pt>
                <c:pt idx="16">
                  <c:v>0.13</c:v>
                </c:pt>
                <c:pt idx="17">
                  <c:v>-0.01</c:v>
                </c:pt>
                <c:pt idx="18">
                  <c:v>0.12</c:v>
                </c:pt>
                <c:pt idx="19">
                  <c:v>-0.02</c:v>
                </c:pt>
                <c:pt idx="20">
                  <c:v>0.12</c:v>
                </c:pt>
                <c:pt idx="21">
                  <c:v>0.1</c:v>
                </c:pt>
                <c:pt idx="22">
                  <c:v>0.09</c:v>
                </c:pt>
                <c:pt idx="23">
                  <c:v>7.0000000000000007E-2</c:v>
                </c:pt>
                <c:pt idx="24">
                  <c:v>0.03</c:v>
                </c:pt>
                <c:pt idx="25">
                  <c:v>0.05</c:v>
                </c:pt>
                <c:pt idx="26">
                  <c:v>0.03</c:v>
                </c:pt>
                <c:pt idx="27">
                  <c:v>-0.02</c:v>
                </c:pt>
                <c:pt idx="28">
                  <c:v>0</c:v>
                </c:pt>
                <c:pt idx="29">
                  <c:v>0</c:v>
                </c:pt>
                <c:pt idx="30">
                  <c:v>-0.01</c:v>
                </c:pt>
                <c:pt idx="31">
                  <c:v>-0.01</c:v>
                </c:pt>
                <c:pt idx="32">
                  <c:v>-0.01</c:v>
                </c:pt>
                <c:pt idx="33">
                  <c:v>-0.01</c:v>
                </c:pt>
                <c:pt idx="34">
                  <c:v>-0.02</c:v>
                </c:pt>
                <c:pt idx="35">
                  <c:v>-0.02</c:v>
                </c:pt>
              </c:numCache>
            </c:numRef>
          </c:val>
          <c:smooth val="0"/>
          <c:extLst>
            <c:ext xmlns:c16="http://schemas.microsoft.com/office/drawing/2014/chart" uri="{C3380CC4-5D6E-409C-BE32-E72D297353CC}">
              <c16:uniqueId val="{00000002-9B97-429D-8857-7806B1EFBC3F}"/>
            </c:ext>
          </c:extLst>
        </c:ser>
        <c:ser>
          <c:idx val="3"/>
          <c:order val="3"/>
          <c:tx>
            <c:strRef>
              <c:f>'[922015031p1g158.xls]CostR&amp;D_TaxSubsidy_e'!$F$13</c:f>
              <c:strCache>
                <c:ptCount val="1"/>
                <c:pt idx="0">
                  <c:v>PYME,  Utilidades &lt;0 </c:v>
                </c:pt>
              </c:strCache>
            </c:strRef>
          </c:tx>
          <c:spPr>
            <a:ln w="25400">
              <a:noFill/>
            </a:ln>
          </c:spPr>
          <c:marker>
            <c:symbol val="diamond"/>
            <c:size val="4"/>
            <c:spPr>
              <a:solidFill>
                <a:schemeClr val="accent4">
                  <a:lumMod val="75000"/>
                </a:schemeClr>
              </a:solidFill>
              <a:ln w="3175">
                <a:solidFill>
                  <a:srgbClr val="000000"/>
                </a:solidFill>
                <a:prstDash val="solid"/>
              </a:ln>
            </c:spPr>
          </c:marker>
          <c:cat>
            <c:strRef>
              <c:f>'[922015031p1g158.xls]CostR&amp;D_TaxSubsidy_e'!$B$14:$B$49</c:f>
              <c:strCache>
                <c:ptCount val="36"/>
                <c:pt idx="0">
                  <c:v>FRA</c:v>
                </c:pt>
                <c:pt idx="1">
                  <c:v>PRT</c:v>
                </c:pt>
                <c:pt idx="2">
                  <c:v>ESP</c:v>
                </c:pt>
                <c:pt idx="3">
                  <c:v>CAN</c:v>
                </c:pt>
                <c:pt idx="4">
                  <c:v>GBR</c:v>
                </c:pt>
                <c:pt idx="5">
                  <c:v>IRL</c:v>
                </c:pt>
                <c:pt idx="6">
                  <c:v>CHL</c:v>
                </c:pt>
                <c:pt idx="7">
                  <c:v>KOR</c:v>
                </c:pt>
                <c:pt idx="8">
                  <c:v>TUR</c:v>
                </c:pt>
                <c:pt idx="9">
                  <c:v>CZE</c:v>
                </c:pt>
                <c:pt idx="10">
                  <c:v>ISL</c:v>
                </c:pt>
                <c:pt idx="11">
                  <c:v>NLD</c:v>
                </c:pt>
                <c:pt idx="12">
                  <c:v>AUS</c:v>
                </c:pt>
                <c:pt idx="13">
                  <c:v>NOR</c:v>
                </c:pt>
                <c:pt idx="14">
                  <c:v>SVN</c:v>
                </c:pt>
                <c:pt idx="15">
                  <c:v>HUN</c:v>
                </c:pt>
                <c:pt idx="16">
                  <c:v>ZAF</c:v>
                </c:pt>
                <c:pt idx="17">
                  <c:v>BRA</c:v>
                </c:pt>
                <c:pt idx="18">
                  <c:v>CHN</c:v>
                </c:pt>
                <c:pt idx="19">
                  <c:v>JPN</c:v>
                </c:pt>
                <c:pt idx="20">
                  <c:v>AUT</c:v>
                </c:pt>
                <c:pt idx="21">
                  <c:v>BEL</c:v>
                </c:pt>
                <c:pt idx="22">
                  <c:v>SVK</c:v>
                </c:pt>
                <c:pt idx="23">
                  <c:v>GRC</c:v>
                </c:pt>
                <c:pt idx="24">
                  <c:v>RUS</c:v>
                </c:pt>
                <c:pt idx="25">
                  <c:v>SWE</c:v>
                </c:pt>
                <c:pt idx="26">
                  <c:v>USA</c:v>
                </c:pt>
                <c:pt idx="27">
                  <c:v>ITA</c:v>
                </c:pt>
                <c:pt idx="28">
                  <c:v>POL</c:v>
                </c:pt>
                <c:pt idx="29">
                  <c:v>FIN</c:v>
                </c:pt>
                <c:pt idx="30">
                  <c:v>DNK</c:v>
                </c:pt>
                <c:pt idx="31">
                  <c:v>LUX</c:v>
                </c:pt>
                <c:pt idx="32">
                  <c:v>MEX</c:v>
                </c:pt>
                <c:pt idx="33">
                  <c:v>CHE</c:v>
                </c:pt>
                <c:pt idx="34">
                  <c:v>DEU</c:v>
                </c:pt>
                <c:pt idx="35">
                  <c:v>NZL</c:v>
                </c:pt>
              </c:strCache>
            </c:strRef>
          </c:cat>
          <c:val>
            <c:numRef>
              <c:f>'[922015031p1g158.xls]CostR&amp;D_TaxSubsidy_e'!$F$14:$F$49</c:f>
              <c:numCache>
                <c:formatCode>0.00</c:formatCode>
                <c:ptCount val="36"/>
                <c:pt idx="0">
                  <c:v>0.43</c:v>
                </c:pt>
                <c:pt idx="1">
                  <c:v>0.28999999999999998</c:v>
                </c:pt>
                <c:pt idx="2">
                  <c:v>0.28999999999999998</c:v>
                </c:pt>
                <c:pt idx="3">
                  <c:v>0.28999999999999998</c:v>
                </c:pt>
                <c:pt idx="4">
                  <c:v>0.28999999999999998</c:v>
                </c:pt>
                <c:pt idx="5">
                  <c:v>0.23</c:v>
                </c:pt>
                <c:pt idx="6">
                  <c:v>0.23</c:v>
                </c:pt>
                <c:pt idx="7">
                  <c:v>0.21</c:v>
                </c:pt>
                <c:pt idx="8">
                  <c:v>0.18</c:v>
                </c:pt>
                <c:pt idx="9">
                  <c:v>0.17</c:v>
                </c:pt>
                <c:pt idx="10">
                  <c:v>0.22</c:v>
                </c:pt>
                <c:pt idx="11">
                  <c:v>0.2</c:v>
                </c:pt>
                <c:pt idx="12">
                  <c:v>0.2</c:v>
                </c:pt>
                <c:pt idx="13">
                  <c:v>0.2</c:v>
                </c:pt>
                <c:pt idx="14">
                  <c:v>0.15</c:v>
                </c:pt>
                <c:pt idx="15">
                  <c:v>0.11</c:v>
                </c:pt>
                <c:pt idx="16">
                  <c:v>0.13</c:v>
                </c:pt>
                <c:pt idx="17">
                  <c:v>-0.01</c:v>
                </c:pt>
                <c:pt idx="18">
                  <c:v>0.12</c:v>
                </c:pt>
                <c:pt idx="19">
                  <c:v>-0.01</c:v>
                </c:pt>
                <c:pt idx="20">
                  <c:v>0.12</c:v>
                </c:pt>
                <c:pt idx="21">
                  <c:v>0.1</c:v>
                </c:pt>
                <c:pt idx="22">
                  <c:v>0.09</c:v>
                </c:pt>
                <c:pt idx="23">
                  <c:v>7.0000000000000007E-2</c:v>
                </c:pt>
                <c:pt idx="24">
                  <c:v>0.03</c:v>
                </c:pt>
                <c:pt idx="25">
                  <c:v>0.05</c:v>
                </c:pt>
                <c:pt idx="26">
                  <c:v>0.03</c:v>
                </c:pt>
                <c:pt idx="27">
                  <c:v>-0.02</c:v>
                </c:pt>
                <c:pt idx="28">
                  <c:v>0</c:v>
                </c:pt>
                <c:pt idx="29">
                  <c:v>0</c:v>
                </c:pt>
                <c:pt idx="30">
                  <c:v>-0.01</c:v>
                </c:pt>
                <c:pt idx="31">
                  <c:v>-0.01</c:v>
                </c:pt>
                <c:pt idx="32">
                  <c:v>-0.01</c:v>
                </c:pt>
                <c:pt idx="33">
                  <c:v>-0.01</c:v>
                </c:pt>
                <c:pt idx="34">
                  <c:v>-0.02</c:v>
                </c:pt>
                <c:pt idx="35">
                  <c:v>-0.02</c:v>
                </c:pt>
              </c:numCache>
            </c:numRef>
          </c:val>
          <c:smooth val="0"/>
          <c:extLst>
            <c:ext xmlns:c16="http://schemas.microsoft.com/office/drawing/2014/chart" uri="{C3380CC4-5D6E-409C-BE32-E72D297353CC}">
              <c16:uniqueId val="{00000003-9B97-429D-8857-7806B1EFBC3F}"/>
            </c:ext>
          </c:extLst>
        </c:ser>
        <c:dLbls>
          <c:showLegendKey val="0"/>
          <c:showVal val="0"/>
          <c:showCatName val="0"/>
          <c:showSerName val="0"/>
          <c:showPercent val="0"/>
          <c:showBubbleSize val="0"/>
        </c:dLbls>
        <c:marker val="1"/>
        <c:smooth val="0"/>
        <c:axId val="3"/>
        <c:axId val="4"/>
      </c:lineChart>
      <c:catAx>
        <c:axId val="2056647887"/>
        <c:scaling>
          <c:orientation val="minMax"/>
        </c:scaling>
        <c:delete val="0"/>
        <c:axPos val="b"/>
        <c:majorGridlines>
          <c:spPr>
            <a:ln w="9525" cmpd="sng">
              <a:solidFill>
                <a:srgbClr val="FFFFFF"/>
              </a:solidFill>
              <a:prstDash val="solid"/>
            </a:ln>
          </c:spPr>
        </c:majorGridlines>
        <c:numFmt formatCode="General" sourceLinked="1"/>
        <c:majorTickMark val="in"/>
        <c:minorTickMark val="none"/>
        <c:tickLblPos val="low"/>
        <c:spPr>
          <a:noFill/>
          <a:ln w="9525">
            <a:solidFill>
              <a:srgbClr val="000000"/>
            </a:solidFill>
            <a:prstDash val="solid"/>
          </a:ln>
          <a:extLst>
            <a:ext uri="{909E8E84-426E-40DD-AFC4-6F175D3DCCD1}">
              <a14:hiddenFill xmlns:a14="http://schemas.microsoft.com/office/drawing/2010/main">
                <a:noFill/>
              </a14:hiddenFill>
            </a:ext>
          </a:extLst>
        </c:spPr>
        <c:txPr>
          <a:bodyPr rot="-5400000" vert="horz"/>
          <a:lstStyle/>
          <a:p>
            <a:pPr>
              <a:defRPr sz="800" b="0" i="0" u="none" strike="noStrike" baseline="0">
                <a:solidFill>
                  <a:srgbClr val="000000"/>
                </a:solidFill>
                <a:latin typeface="Arial Narrow"/>
                <a:ea typeface="Arial Narrow"/>
                <a:cs typeface="Arial Narrow"/>
              </a:defRPr>
            </a:pPr>
            <a:endParaRPr lang="es-CL"/>
          </a:p>
        </c:txPr>
        <c:crossAx val="1"/>
        <c:crosses val="autoZero"/>
        <c:auto val="1"/>
        <c:lblAlgn val="ctr"/>
        <c:lblOffset val="0"/>
        <c:tickLblSkip val="1"/>
        <c:noMultiLvlLbl val="0"/>
      </c:catAx>
      <c:valAx>
        <c:axId val="1"/>
        <c:scaling>
          <c:orientation val="minMax"/>
          <c:max val="0.5"/>
          <c:min val="-0.1"/>
        </c:scaling>
        <c:delete val="0"/>
        <c:axPos val="l"/>
        <c:majorGridlines>
          <c:spPr>
            <a:ln w="9525" cmpd="sng">
              <a:solidFill>
                <a:srgbClr val="FFFFFF"/>
              </a:solidFill>
              <a:prstDash val="solid"/>
            </a:ln>
          </c:spPr>
        </c:majorGridlines>
        <c:numFmt formatCode="#\ ##0.0" sourceLinked="0"/>
        <c:majorTickMark val="in"/>
        <c:minorTickMark val="none"/>
        <c:tickLblPos val="nextTo"/>
        <c:spPr>
          <a:noFill/>
          <a:ln w="9525">
            <a:solidFill>
              <a:srgbClr val="000000"/>
            </a:solidFill>
            <a:prstDash val="solid"/>
          </a:ln>
          <a:extLst>
            <a:ext uri="{909E8E84-426E-40DD-AFC4-6F175D3DCCD1}">
              <a14:hiddenFill xmlns:a14="http://schemas.microsoft.com/office/drawing/2010/main">
                <a:noFill/>
              </a14:hiddenFill>
            </a:ext>
          </a:extLst>
        </c:spPr>
        <c:txPr>
          <a:bodyPr rot="0" vert="horz"/>
          <a:lstStyle/>
          <a:p>
            <a:pPr>
              <a:defRPr sz="800" b="0" i="0" u="none" strike="noStrike" baseline="0">
                <a:solidFill>
                  <a:srgbClr val="000000"/>
                </a:solidFill>
                <a:latin typeface="Arial Narrow"/>
                <a:ea typeface="Arial Narrow"/>
                <a:cs typeface="Arial Narrow"/>
              </a:defRPr>
            </a:pPr>
            <a:endParaRPr lang="es-CL"/>
          </a:p>
        </c:txPr>
        <c:crossAx val="2056647887"/>
        <c:crosses val="autoZero"/>
        <c:crossBetween val="between"/>
      </c:valAx>
      <c:catAx>
        <c:axId val="3"/>
        <c:scaling>
          <c:orientation val="minMax"/>
        </c:scaling>
        <c:delete val="1"/>
        <c:axPos val="t"/>
        <c:numFmt formatCode="General" sourceLinked="1"/>
        <c:majorTickMark val="out"/>
        <c:minorTickMark val="none"/>
        <c:tickLblPos val="nextTo"/>
        <c:crossAx val="4"/>
        <c:crosses val="max"/>
        <c:auto val="1"/>
        <c:lblAlgn val="ctr"/>
        <c:lblOffset val="100"/>
        <c:noMultiLvlLbl val="0"/>
      </c:catAx>
      <c:valAx>
        <c:axId val="4"/>
        <c:scaling>
          <c:orientation val="minMax"/>
          <c:max val="0.60000000000000009"/>
          <c:min val="-0.1"/>
        </c:scaling>
        <c:delete val="1"/>
        <c:axPos val="r"/>
        <c:numFmt formatCode="0.00" sourceLinked="1"/>
        <c:majorTickMark val="out"/>
        <c:minorTickMark val="none"/>
        <c:tickLblPos val="nextTo"/>
        <c:crossAx val="3"/>
        <c:crosses val="max"/>
        <c:crossBetween val="between"/>
      </c:valAx>
      <c:spPr>
        <a:solidFill>
          <a:srgbClr val="EAEAEA"/>
        </a:solidFill>
        <a:ln w="25400">
          <a:noFill/>
        </a:ln>
      </c:spPr>
    </c:plotArea>
    <c:legend>
      <c:legendPos val="r"/>
      <c:layout>
        <c:manualLayout>
          <c:xMode val="edge"/>
          <c:yMode val="edge"/>
          <c:x val="6.3119472794686021E-2"/>
          <c:y val="0.91544325616014421"/>
          <c:w val="0.93461745734362245"/>
          <c:h val="7.4703255376660005E-2"/>
        </c:manualLayout>
      </c:layout>
      <c:overlay val="1"/>
      <c:spPr>
        <a:solidFill>
          <a:srgbClr val="EAEAEA"/>
        </a:solidFill>
        <a:ln w="25400">
          <a:noFill/>
        </a:ln>
      </c:spPr>
      <c:txPr>
        <a:bodyPr/>
        <a:lstStyle/>
        <a:p>
          <a:pPr>
            <a:defRPr sz="800" b="0" i="0" u="none" strike="noStrike" baseline="0">
              <a:solidFill>
                <a:srgbClr val="000000"/>
              </a:solidFill>
              <a:latin typeface="Arial Narrow"/>
              <a:ea typeface="Arial Narrow"/>
              <a:cs typeface="Arial Narrow"/>
            </a:defRPr>
          </a:pPr>
          <a:endParaRPr lang="es-CL"/>
        </a:p>
      </c:txPr>
    </c:legend>
    <c:plotVisOnly val="1"/>
    <c:dispBlanksAs val="gap"/>
    <c:showDLblsOverMax val="1"/>
  </c:chart>
  <c:spPr>
    <a:solidFill>
      <a:schemeClr val="bg1"/>
    </a:solidFill>
    <a:ln>
      <a:noFill/>
    </a:ln>
    <a:extLst/>
  </c:spPr>
  <c:txPr>
    <a:bodyPr/>
    <a:lstStyle/>
    <a:p>
      <a:pPr>
        <a:defRPr sz="900" b="0" i="0" u="none" strike="noStrike" baseline="0">
          <a:solidFill>
            <a:srgbClr val="000000"/>
          </a:solidFill>
          <a:latin typeface="Arial"/>
          <a:ea typeface="Arial"/>
          <a:cs typeface="Arial"/>
        </a:defRPr>
      </a:pPr>
      <a:endParaRPr lang="es-C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'G1.3'!$A$3</c:f>
              <c:strCache>
                <c:ptCount val="1"/>
                <c:pt idx="0">
                  <c:v>Indice PTF</c:v>
                </c:pt>
              </c:strCache>
            </c:strRef>
          </c:tx>
          <c:spPr>
            <a:ln w="28575" cap="rnd">
              <a:solidFill>
                <a:schemeClr val="accent1"/>
              </a:solidFill>
              <a:round/>
            </a:ln>
            <a:effectLst/>
          </c:spPr>
          <c:marker>
            <c:symbol val="none"/>
          </c:marker>
          <c:cat>
            <c:numRef>
              <c:f>'G1.3'!$B$2:$W$2</c:f>
              <c:numCache>
                <c:formatCode>General</c:formatCode>
                <c:ptCount val="22"/>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numCache>
            </c:numRef>
          </c:cat>
          <c:val>
            <c:numRef>
              <c:f>'G1.3'!$B$3:$W$3</c:f>
              <c:numCache>
                <c:formatCode>General</c:formatCode>
                <c:ptCount val="22"/>
                <c:pt idx="0">
                  <c:v>100</c:v>
                </c:pt>
                <c:pt idx="1">
                  <c:v>102.2</c:v>
                </c:pt>
                <c:pt idx="2">
                  <c:v>106.39019999999999</c:v>
                </c:pt>
                <c:pt idx="3">
                  <c:v>108.94356479999999</c:v>
                </c:pt>
                <c:pt idx="4">
                  <c:v>110.4687747072</c:v>
                </c:pt>
                <c:pt idx="5">
                  <c:v>112.45721265192959</c:v>
                </c:pt>
                <c:pt idx="6">
                  <c:v>109.53332512297942</c:v>
                </c:pt>
                <c:pt idx="7">
                  <c:v>110.1905250737173</c:v>
                </c:pt>
                <c:pt idx="8">
                  <c:v>111.73319242474933</c:v>
                </c:pt>
                <c:pt idx="9">
                  <c:v>112.18012519444834</c:v>
                </c:pt>
                <c:pt idx="10">
                  <c:v>113.41410657158725</c:v>
                </c:pt>
                <c:pt idx="11">
                  <c:v>116.24945923587693</c:v>
                </c:pt>
                <c:pt idx="12">
                  <c:v>117.4119538282357</c:v>
                </c:pt>
                <c:pt idx="13">
                  <c:v>118.70348532034627</c:v>
                </c:pt>
                <c:pt idx="14">
                  <c:v>117.9912644084242</c:v>
                </c:pt>
                <c:pt idx="15">
                  <c:v>117.28331682197366</c:v>
                </c:pt>
                <c:pt idx="16">
                  <c:v>116.11048365375392</c:v>
                </c:pt>
                <c:pt idx="17">
                  <c:v>117.38769897394519</c:v>
                </c:pt>
                <c:pt idx="18">
                  <c:v>117.38769897394519</c:v>
                </c:pt>
                <c:pt idx="19">
                  <c:v>118.44418826471069</c:v>
                </c:pt>
                <c:pt idx="20">
                  <c:v>119.39174177082838</c:v>
                </c:pt>
                <c:pt idx="21">
                  <c:v>118.19782435312008</c:v>
                </c:pt>
              </c:numCache>
            </c:numRef>
          </c:val>
          <c:smooth val="0"/>
          <c:extLst>
            <c:ext xmlns:c16="http://schemas.microsoft.com/office/drawing/2014/chart" uri="{C3380CC4-5D6E-409C-BE32-E72D297353CC}">
              <c16:uniqueId val="{00000000-893A-4570-A3D9-DC4582A3CE07}"/>
            </c:ext>
          </c:extLst>
        </c:ser>
        <c:dLbls>
          <c:showLegendKey val="0"/>
          <c:showVal val="0"/>
          <c:showCatName val="0"/>
          <c:showSerName val="0"/>
          <c:showPercent val="0"/>
          <c:showBubbleSize val="0"/>
        </c:dLbls>
        <c:smooth val="0"/>
        <c:axId val="2105437855"/>
        <c:axId val="2105438687"/>
      </c:lineChart>
      <c:catAx>
        <c:axId val="2105437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05438687"/>
        <c:crosses val="autoZero"/>
        <c:auto val="1"/>
        <c:lblAlgn val="ctr"/>
        <c:lblOffset val="100"/>
        <c:noMultiLvlLbl val="0"/>
      </c:catAx>
      <c:valAx>
        <c:axId val="2105438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10543785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ysClr val="window" lastClr="FFFFFF"/>
              </a:solidFill>
              <a:ln w="9525">
                <a:noFill/>
              </a:ln>
              <a:effectLst/>
            </c:spPr>
          </c:marker>
          <c:dLbls>
            <c:dLbl>
              <c:idx val="0"/>
              <c:tx>
                <c:strRef>
                  <c:f>'gráfico 10'!$A$2</c:f>
                  <c:strCache>
                    <c:ptCount val="1"/>
                    <c:pt idx="0">
                      <c:v>AUT</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{9E6DFD89-C598-4338-9097-C3D35B7A2D44}</c15:txfldGUID>
                      <c15:f>'gráfico 10'!$A$2</c15:f>
                      <c15:dlblFieldTableCache>
                        <c:ptCount val="1"/>
                        <c:pt idx="0">
                          <c:v>AUT</c:v>
                        </c:pt>
                      </c15:dlblFieldTableCache>
                    </c15:dlblFTEntry>
                  </c15:dlblFieldTable>
                  <c15:showDataLabelsRange val="0"/>
                </c:ext>
                <c:ext xmlns:c16="http://schemas.microsoft.com/office/drawing/2014/chart" uri="{C3380CC4-5D6E-409C-BE32-E72D297353CC}">
                  <c16:uniqueId val="{00000000-8CA2-4B10-B114-F0E5895EE959}"/>
                </c:ext>
              </c:extLst>
            </c:dLbl>
            <c:dLbl>
              <c:idx val="1"/>
              <c:layout>
                <c:manualLayout>
                  <c:x val="-5.6658879961797033E-2"/>
                  <c:y val="0"/>
                </c:manualLayout>
              </c:layout>
              <c:tx>
                <c:strRef>
                  <c:f>'gráfico 10'!$A$3</c:f>
                  <c:strCache>
                    <c:ptCount val="1"/>
                    <c:pt idx="0">
                      <c:v>BEL</c:v>
                    </c:pt>
                  </c:strCache>
                </c:strRef>
              </c:tx>
              <c:dLblPos val="r"/>
              <c:showLegendKey val="0"/>
              <c:showVal val="1"/>
              <c:showCatName val="0"/>
              <c:showSerName val="0"/>
              <c:showPercent val="0"/>
              <c:showBubbleSize val="0"/>
              <c:extLst>
                <c:ext xmlns:c15="http://schemas.microsoft.com/office/drawing/2012/chart" uri="{CE6537A1-D6FC-4f65-9D91-7224C49458BB}">
                  <c15:dlblFieldTable>
                    <c15:dlblFTEntry>
                      <c15:txfldGUID>{9E206B81-EBF2-4FF5-A4C1-FF9E8CC0748D}</c15:txfldGUID>
                      <c15:f>'gráfico 10'!$A$3</c15:f>
                      <c15:dlblFieldTableCache>
                        <c:ptCount val="1"/>
                        <c:pt idx="0">
                          <c:v>BEL</c:v>
                        </c:pt>
                      </c15:dlblFieldTableCache>
                    </c15:dlblFTEntry>
                  </c15:dlblFieldTable>
                  <c15:showDataLabelsRange val="0"/>
                </c:ext>
                <c:ext xmlns:c16="http://schemas.microsoft.com/office/drawing/2014/chart" uri="{C3380CC4-5D6E-409C-BE32-E72D297353CC}">
                  <c16:uniqueId val="{00000001-8CA2-4B10-B114-F0E5895EE959}"/>
                </c:ext>
              </c:extLst>
            </c:dLbl>
            <c:dLbl>
              <c:idx val="2"/>
              <c:tx>
                <c:strRef>
                  <c:f>'gráfico 10'!$A$4</c:f>
                  <c:strCache>
                    <c:ptCount val="1"/>
                    <c:pt idx="0">
                      <c:v>CAN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{E353FE84-26D6-4F49-88DD-41531BE8B97B}</c15:txfldGUID>
                      <c15:f>'gráfico 10'!$A$4</c15:f>
                      <c15:dlblFieldTableCache>
                        <c:ptCount val="1"/>
                        <c:pt idx="0">
                          <c:v>CAN</c:v>
                        </c:pt>
                      </c15:dlblFieldTableCache>
                    </c15:dlblFTEntry>
                  </c15:dlblFieldTable>
                  <c15:showDataLabelsRange val="0"/>
                </c:ext>
                <c:ext xmlns:c16="http://schemas.microsoft.com/office/drawing/2014/chart" uri="{C3380CC4-5D6E-409C-BE32-E72D297353CC}">
                  <c16:uniqueId val="{00000002-8CA2-4B10-B114-F0E5895EE959}"/>
                </c:ext>
              </c:extLst>
            </c:dLbl>
            <c:dLbl>
              <c:idx val="3"/>
              <c:tx>
                <c:rich>
                  <a:bodyPr rot="0" spcFirstLastPara="1" vertOverflow="ellipsis" vert="horz" wrap="square" lIns="38100" tIns="19050" rIns="38100" bIns="19050" anchor="ctr" anchorCtr="1">
                    <a:spAutoFit/>
                  </a:bodyPr>
                  <a:lstStyle/>
                  <a:p>
                    <a:pPr>
                      <a:defRPr sz="1000" b="0" i="0" u="none" strike="noStrike" kern="1200" baseline="0">
                        <a:solidFill>
                          <a:schemeClr val="accent5"/>
                        </a:solidFill>
                        <a:latin typeface="+mn-lt"/>
                        <a:ea typeface="+mn-ea"/>
                        <a:cs typeface="+mn-cs"/>
                      </a:defRPr>
                    </a:pPr>
                    <a:fld id="{E2BAD676-18B9-43A8-98CA-6E803C738400}" type="CELLREF">
                      <a:rPr lang="en-US" sz="1000" b="1" i="0" u="none" strike="noStrike">
                        <a:solidFill>
                          <a:schemeClr val="accent5"/>
                        </a:solidFill>
                        <a:latin typeface="+mn-lt"/>
                      </a:rPr>
                      <a:pPr>
                        <a:defRPr sz="1000">
                          <a:solidFill>
                            <a:schemeClr val="accent5"/>
                          </a:solidFill>
                        </a:defRPr>
                      </a:pPr>
                      <a:t>[CELLREF]</a:t>
                    </a:fld>
                    <a:endParaRPr lang="es-CL"/>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5"/>
                      </a:solidFill>
                      <a:latin typeface="+mn-lt"/>
                      <a:ea typeface="+mn-ea"/>
                      <a:cs typeface="+mn-cs"/>
                    </a:defRPr>
                  </a:pPr>
                  <a:endParaRPr lang="es-CL"/>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{E2BAD676-18B9-43A8-98CA-6E803C738400}</c15:txfldGUID>
                      <c15:f>'gráfico 10'!$A$5</c15:f>
                      <c15:dlblFieldTableCache>
                        <c:ptCount val="1"/>
                        <c:pt idx="0">
                          <c:v>CHL</c:v>
                        </c:pt>
                      </c15:dlblFieldTableCache>
                    </c15:dlblFTEntry>
                  </c15:dlblFieldTable>
                  <c15:showDataLabelsRange val="0"/>
                </c:ext>
                <c:ext xmlns:c16="http://schemas.microsoft.com/office/drawing/2014/chart" uri="{C3380CC4-5D6E-409C-BE32-E72D297353CC}">
                  <c16:uniqueId val="{00000003-8CA2-4B10-B114-F0E5895EE959}"/>
                </c:ext>
              </c:extLst>
            </c:dLbl>
            <c:dLbl>
              <c:idx val="4"/>
              <c:tx>
                <c:strRef>
                  <c:f>'gráfico 10'!$A$6</c:f>
                  <c:strCache>
                    <c:ptCount val="1"/>
                    <c:pt idx="0">
                      <c:v>CZE</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{C7F71D0E-FB9A-4F13-9AF5-C89873347159}</c15:txfldGUID>
                      <c15:f>'gráfico 10'!$A$6</c15:f>
                      <c15:dlblFieldTableCache>
                        <c:ptCount val="1"/>
                        <c:pt idx="0">
                          <c:v>CZE</c:v>
                        </c:pt>
                      </c15:dlblFieldTableCache>
                    </c15:dlblFTEntry>
                  </c15:dlblFieldTable>
                  <c15:showDataLabelsRange val="0"/>
                </c:ext>
                <c:ext xmlns:c16="http://schemas.microsoft.com/office/drawing/2014/chart" uri="{C3380CC4-5D6E-409C-BE32-E72D297353CC}">
                  <c16:uniqueId val="{00000004-8CA2-4B10-B114-F0E5895EE959}"/>
                </c:ext>
              </c:extLst>
            </c:dLbl>
            <c:dLbl>
              <c:idx val="5"/>
              <c:tx>
                <c:strRef>
                  <c:f>'gráfico 10'!$A$7</c:f>
                  <c:strCache>
                    <c:ptCount val="1"/>
                    <c:pt idx="0">
                      <c:v>DNK</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{4029562A-7772-4582-9608-397FB30BC85E}</c15:txfldGUID>
                      <c15:f>'gráfico 10'!$A$7</c15:f>
                      <c15:dlblFieldTableCache>
                        <c:ptCount val="1"/>
                        <c:pt idx="0">
                          <c:v>DNK</c:v>
                        </c:pt>
                      </c15:dlblFieldTableCache>
                    </c15:dlblFTEntry>
                  </c15:dlblFieldTable>
                  <c15:showDataLabelsRange val="0"/>
                </c:ext>
                <c:ext xmlns:c16="http://schemas.microsoft.com/office/drawing/2014/chart" uri="{C3380CC4-5D6E-409C-BE32-E72D297353CC}">
                  <c16:uniqueId val="{00000005-8CA2-4B10-B114-F0E5895EE959}"/>
                </c:ext>
              </c:extLst>
            </c:dLbl>
            <c:dLbl>
              <c:idx val="6"/>
              <c:tx>
                <c:strRef>
                  <c:f>'gráfico 10'!$A$8</c:f>
                  <c:strCache>
                    <c:ptCount val="1"/>
                    <c:pt idx="0">
                      <c:v>EST</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{53313E1C-B876-4F59-9438-0058B2A9786D}</c15:txfldGUID>
                      <c15:f>'gráfico 10'!$A$8</c15:f>
                      <c15:dlblFieldTableCache>
                        <c:ptCount val="1"/>
                        <c:pt idx="0">
                          <c:v>EST</c:v>
                        </c:pt>
                      </c15:dlblFieldTableCache>
                    </c15:dlblFTEntry>
                  </c15:dlblFieldTable>
                  <c15:showDataLabelsRange val="0"/>
                </c:ext>
                <c:ext xmlns:c16="http://schemas.microsoft.com/office/drawing/2014/chart" uri="{C3380CC4-5D6E-409C-BE32-E72D297353CC}">
                  <c16:uniqueId val="{00000006-8CA2-4B10-B114-F0E5895EE959}"/>
                </c:ext>
              </c:extLst>
            </c:dLbl>
            <c:dLbl>
              <c:idx val="7"/>
              <c:tx>
                <c:strRef>
                  <c:f>'gráfico 10'!$A$9</c:f>
                  <c:strCache>
                    <c:ptCount val="1"/>
                    <c:pt idx="0">
                      <c:v>FIN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{60781F87-35E5-435E-944B-5825BF157FF7}</c15:txfldGUID>
                      <c15:f>'gráfico 10'!$A$9</c15:f>
                      <c15:dlblFieldTableCache>
                        <c:ptCount val="1"/>
                        <c:pt idx="0">
                          <c:v>FIN</c:v>
                        </c:pt>
                      </c15:dlblFieldTableCache>
                    </c15:dlblFTEntry>
                  </c15:dlblFieldTable>
                  <c15:showDataLabelsRange val="0"/>
                </c:ext>
                <c:ext xmlns:c16="http://schemas.microsoft.com/office/drawing/2014/chart" uri="{C3380CC4-5D6E-409C-BE32-E72D297353CC}">
                  <c16:uniqueId val="{00000007-8CA2-4B10-B114-F0E5895EE959}"/>
                </c:ext>
              </c:extLst>
            </c:dLbl>
            <c:dLbl>
              <c:idx val="8"/>
              <c:tx>
                <c:strRef>
                  <c:f>'gráfico 10'!$A$10</c:f>
                  <c:strCache>
                    <c:ptCount val="1"/>
                    <c:pt idx="0">
                      <c:v>FRA</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{E57F6AE7-DBEF-44DE-9504-212C77C06C09}</c15:txfldGUID>
                      <c15:f>'gráfico 10'!$A$10</c15:f>
                      <c15:dlblFieldTableCache>
                        <c:ptCount val="1"/>
                        <c:pt idx="0">
                          <c:v>FRA</c:v>
                        </c:pt>
                      </c15:dlblFieldTableCache>
                    </c15:dlblFTEntry>
                  </c15:dlblFieldTable>
                  <c15:showDataLabelsRange val="0"/>
                </c:ext>
                <c:ext xmlns:c16="http://schemas.microsoft.com/office/drawing/2014/chart" uri="{C3380CC4-5D6E-409C-BE32-E72D297353CC}">
                  <c16:uniqueId val="{00000008-8CA2-4B10-B114-F0E5895EE959}"/>
                </c:ext>
              </c:extLst>
            </c:dLbl>
            <c:dLbl>
              <c:idx val="9"/>
              <c:tx>
                <c:strRef>
                  <c:f>'gráfico 10'!$A$11</c:f>
                  <c:strCache>
                    <c:ptCount val="1"/>
                    <c:pt idx="0">
                      <c:v>DEU</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{9F8B09BE-1E7F-409E-A8B8-53DBC2A8F2AA}</c15:txfldGUID>
                      <c15:f>'gráfico 10'!$A$11</c15:f>
                      <c15:dlblFieldTableCache>
                        <c:ptCount val="1"/>
                        <c:pt idx="0">
                          <c:v>DEU</c:v>
                        </c:pt>
                      </c15:dlblFieldTableCache>
                    </c15:dlblFTEntry>
                  </c15:dlblFieldTable>
                  <c15:showDataLabelsRange val="0"/>
                </c:ext>
                <c:ext xmlns:c16="http://schemas.microsoft.com/office/drawing/2014/chart" uri="{C3380CC4-5D6E-409C-BE32-E72D297353CC}">
                  <c16:uniqueId val="{00000009-8CA2-4B10-B114-F0E5895EE959}"/>
                </c:ext>
              </c:extLst>
            </c:dLbl>
            <c:dLbl>
              <c:idx val="10"/>
              <c:tx>
                <c:strRef>
                  <c:f>'gráfico 10'!$A$12</c:f>
                  <c:strCache>
                    <c:ptCount val="1"/>
                    <c:pt idx="0">
                      <c:v>GRC</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{37F16E4E-DC09-45AA-8C91-12DEB94BDCA2}</c15:txfldGUID>
                      <c15:f>'gráfico 10'!$A$12</c15:f>
                      <c15:dlblFieldTableCache>
                        <c:ptCount val="1"/>
                        <c:pt idx="0">
                          <c:v>GRC</c:v>
                        </c:pt>
                      </c15:dlblFieldTableCache>
                    </c15:dlblFTEntry>
                  </c15:dlblFieldTable>
                  <c15:showDataLabelsRange val="0"/>
                </c:ext>
                <c:ext xmlns:c16="http://schemas.microsoft.com/office/drawing/2014/chart" uri="{C3380CC4-5D6E-409C-BE32-E72D297353CC}">
                  <c16:uniqueId val="{0000000A-8CA2-4B10-B114-F0E5895EE959}"/>
                </c:ext>
              </c:extLst>
            </c:dLbl>
            <c:dLbl>
              <c:idx val="11"/>
              <c:tx>
                <c:strRef>
                  <c:f>'gráfico 10'!$A$13</c:f>
                  <c:strCache>
                    <c:ptCount val="1"/>
                    <c:pt idx="0">
                      <c:v>HUN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{ECE43CAF-4489-436F-9FFB-A9146D22A0E6}</c15:txfldGUID>
                      <c15:f>'gráfico 10'!$A$13</c15:f>
                      <c15:dlblFieldTableCache>
                        <c:ptCount val="1"/>
                        <c:pt idx="0">
                          <c:v>HUN</c:v>
                        </c:pt>
                      </c15:dlblFieldTableCache>
                    </c15:dlblFTEntry>
                  </c15:dlblFieldTable>
                  <c15:showDataLabelsRange val="0"/>
                </c:ext>
                <c:ext xmlns:c16="http://schemas.microsoft.com/office/drawing/2014/chart" uri="{C3380CC4-5D6E-409C-BE32-E72D297353CC}">
                  <c16:uniqueId val="{0000000B-8CA2-4B10-B114-F0E5895EE959}"/>
                </c:ext>
              </c:extLst>
            </c:dLbl>
            <c:dLbl>
              <c:idx val="12"/>
              <c:tx>
                <c:strRef>
                  <c:f>'gráfico 10'!$A$14</c:f>
                  <c:strCache>
                    <c:ptCount val="1"/>
                    <c:pt idx="0">
                      <c:v>IRL</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{829FD347-3208-4746-B7A0-7F6CB067CF08}</c15:txfldGUID>
                      <c15:f>'gráfico 10'!$A$14</c15:f>
                      <c15:dlblFieldTableCache>
                        <c:ptCount val="1"/>
                        <c:pt idx="0">
                          <c:v>IRL</c:v>
                        </c:pt>
                      </c15:dlblFieldTableCache>
                    </c15:dlblFTEntry>
                  </c15:dlblFieldTable>
                  <c15:showDataLabelsRange val="0"/>
                </c:ext>
                <c:ext xmlns:c16="http://schemas.microsoft.com/office/drawing/2014/chart" uri="{C3380CC4-5D6E-409C-BE32-E72D297353CC}">
                  <c16:uniqueId val="{0000000C-8CA2-4B10-B114-F0E5895EE959}"/>
                </c:ext>
              </c:extLst>
            </c:dLbl>
            <c:dLbl>
              <c:idx val="13"/>
              <c:tx>
                <c:strRef>
                  <c:f>'gráfico 10'!$A$15</c:f>
                  <c:strCache>
                    <c:ptCount val="1"/>
                    <c:pt idx="0">
                      <c:v>ISR</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{5757C398-7A2B-45D4-B0E9-CF763C1CDA2F}</c15:txfldGUID>
                      <c15:f>'gráfico 10'!$A$15</c15:f>
                      <c15:dlblFieldTableCache>
                        <c:ptCount val="1"/>
                        <c:pt idx="0">
                          <c:v>ISR</c:v>
                        </c:pt>
                      </c15:dlblFieldTableCache>
                    </c15:dlblFTEntry>
                  </c15:dlblFieldTable>
                  <c15:showDataLabelsRange val="0"/>
                </c:ext>
                <c:ext xmlns:c16="http://schemas.microsoft.com/office/drawing/2014/chart" uri="{C3380CC4-5D6E-409C-BE32-E72D297353CC}">
                  <c16:uniqueId val="{0000000D-8CA2-4B10-B114-F0E5895EE959}"/>
                </c:ext>
              </c:extLst>
            </c:dLbl>
            <c:dLbl>
              <c:idx val="14"/>
              <c:tx>
                <c:strRef>
                  <c:f>'gráfico 10'!$A$16</c:f>
                  <c:strCache>
                    <c:ptCount val="1"/>
                    <c:pt idx="0">
                      <c:v>ITA</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{CF24A6A7-0817-4C16-B070-1BDAA804EDDA}</c15:txfldGUID>
                      <c15:f>'gráfico 10'!$A$16</c15:f>
                      <c15:dlblFieldTableCache>
                        <c:ptCount val="1"/>
                        <c:pt idx="0">
                          <c:v>ITA</c:v>
                        </c:pt>
                      </c15:dlblFieldTableCache>
                    </c15:dlblFTEntry>
                  </c15:dlblFieldTable>
                  <c15:showDataLabelsRange val="0"/>
                </c:ext>
                <c:ext xmlns:c16="http://schemas.microsoft.com/office/drawing/2014/chart" uri="{C3380CC4-5D6E-409C-BE32-E72D297353CC}">
                  <c16:uniqueId val="{0000000E-8CA2-4B10-B114-F0E5895EE959}"/>
                </c:ext>
              </c:extLst>
            </c:dLbl>
            <c:dLbl>
              <c:idx val="15"/>
              <c:tx>
                <c:strRef>
                  <c:f>'gráfico 10'!$A$17</c:f>
                  <c:strCache>
                    <c:ptCount val="1"/>
                    <c:pt idx="0">
                      <c:v>JPN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{CEAB513C-7896-432E-9479-477BF91CEBF7}</c15:txfldGUID>
                      <c15:f>'gráfico 10'!$A$17</c15:f>
                      <c15:dlblFieldTableCache>
                        <c:ptCount val="1"/>
                        <c:pt idx="0">
                          <c:v>JPN</c:v>
                        </c:pt>
                      </c15:dlblFieldTableCache>
                    </c15:dlblFTEntry>
                  </c15:dlblFieldTable>
                  <c15:showDataLabelsRange val="0"/>
                </c:ext>
                <c:ext xmlns:c16="http://schemas.microsoft.com/office/drawing/2014/chart" uri="{C3380CC4-5D6E-409C-BE32-E72D297353CC}">
                  <c16:uniqueId val="{0000000F-8CA2-4B10-B114-F0E5895EE959}"/>
                </c:ext>
              </c:extLst>
            </c:dLbl>
            <c:dLbl>
              <c:idx val="16"/>
              <c:tx>
                <c:strRef>
                  <c:f>'gráfico 10'!$A$18</c:f>
                  <c:strCache>
                    <c:ptCount val="1"/>
                    <c:pt idx="0">
                      <c:v>KOR</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{1D7B09F3-CB2C-4DDC-A77D-75C5612A068E}</c15:txfldGUID>
                      <c15:f>'gráfico 10'!$A$18</c15:f>
                      <c15:dlblFieldTableCache>
                        <c:ptCount val="1"/>
                        <c:pt idx="0">
                          <c:v>KOR</c:v>
                        </c:pt>
                      </c15:dlblFieldTableCache>
                    </c15:dlblFTEntry>
                  </c15:dlblFieldTable>
                  <c15:showDataLabelsRange val="0"/>
                </c:ext>
                <c:ext xmlns:c16="http://schemas.microsoft.com/office/drawing/2014/chart" uri="{C3380CC4-5D6E-409C-BE32-E72D297353CC}">
                  <c16:uniqueId val="{00000010-8CA2-4B10-B114-F0E5895EE959}"/>
                </c:ext>
              </c:extLst>
            </c:dLbl>
            <c:dLbl>
              <c:idx val="17"/>
              <c:tx>
                <c:strRef>
                  <c:f>'gráfico 10'!$A$19</c:f>
                  <c:strCache>
                    <c:ptCount val="1"/>
                    <c:pt idx="0">
                      <c:v>LUX</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{02A0F3DC-3E83-492D-BB9F-6A399A0844AC}</c15:txfldGUID>
                      <c15:f>'gráfico 10'!$A$19</c15:f>
                      <c15:dlblFieldTableCache>
                        <c:ptCount val="1"/>
                        <c:pt idx="0">
                          <c:v>LUX</c:v>
                        </c:pt>
                      </c15:dlblFieldTableCache>
                    </c15:dlblFTEntry>
                  </c15:dlblFieldTable>
                  <c15:showDataLabelsRange val="0"/>
                </c:ext>
                <c:ext xmlns:c16="http://schemas.microsoft.com/office/drawing/2014/chart" uri="{C3380CC4-5D6E-409C-BE32-E72D297353CC}">
                  <c16:uniqueId val="{00000011-8CA2-4B10-B114-F0E5895EE959}"/>
                </c:ext>
              </c:extLst>
            </c:dLbl>
            <c:dLbl>
              <c:idx val="18"/>
              <c:layout>
                <c:manualLayout>
                  <c:x val="-4.0308937961166261E-2"/>
                  <c:y val="-1.4932059130954268E-2"/>
                </c:manualLayout>
              </c:layout>
              <c:tx>
                <c:strRef>
                  <c:f>'gráfico 10'!$A$20</c:f>
                  <c:strCache>
                    <c:ptCount val="1"/>
                    <c:pt idx="0">
                      <c:v>MEX</c:v>
                    </c:pt>
                  </c:strCache>
                </c:strRef>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dLblPos val="r"/>
              <c:showLegendKey val="0"/>
              <c:showVal val="1"/>
              <c:showCatName val="0"/>
              <c:showSerName val="0"/>
              <c:showPercent val="0"/>
              <c:showBubbleSize val="0"/>
              <c:extLst>
                <c:ext xmlns:c15="http://schemas.microsoft.com/office/drawing/2012/chart" uri="{CE6537A1-D6FC-4f65-9D91-7224C49458BB}">
                  <c15:dlblFieldTable>
                    <c15:dlblFTEntry>
                      <c15:txfldGUID>{42AF264B-29D1-492B-9E8A-A7A71BC011F3}</c15:txfldGUID>
                      <c15:f>'gráfico 10'!$A$20</c15:f>
                      <c15:dlblFieldTableCache>
                        <c:ptCount val="1"/>
                        <c:pt idx="0">
                          <c:v>MEX</c:v>
                        </c:pt>
                      </c15:dlblFieldTableCache>
                    </c15:dlblFTEntry>
                  </c15:dlblFieldTable>
                  <c15:showDataLabelsRange val="0"/>
                </c:ext>
                <c:ext xmlns:c16="http://schemas.microsoft.com/office/drawing/2014/chart" uri="{C3380CC4-5D6E-409C-BE32-E72D297353CC}">
                  <c16:uniqueId val="{00000012-8CA2-4B10-B114-F0E5895EE959}"/>
                </c:ext>
              </c:extLst>
            </c:dLbl>
            <c:dLbl>
              <c:idx val="19"/>
              <c:tx>
                <c:strRef>
                  <c:f>'gráfico 10'!$A$21</c:f>
                  <c:strCache>
                    <c:ptCount val="1"/>
                    <c:pt idx="0">
                      <c:v>NLD</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{2AA952F7-63B6-42CC-9D84-A63D6A942ADF}</c15:txfldGUID>
                      <c15:f>'gráfico 10'!$A$21</c15:f>
                      <c15:dlblFieldTableCache>
                        <c:ptCount val="1"/>
                        <c:pt idx="0">
                          <c:v>NLD</c:v>
                        </c:pt>
                      </c15:dlblFieldTableCache>
                    </c15:dlblFTEntry>
                  </c15:dlblFieldTable>
                  <c15:showDataLabelsRange val="0"/>
                </c:ext>
                <c:ext xmlns:c16="http://schemas.microsoft.com/office/drawing/2014/chart" uri="{C3380CC4-5D6E-409C-BE32-E72D297353CC}">
                  <c16:uniqueId val="{00000013-8CA2-4B10-B114-F0E5895EE959}"/>
                </c:ext>
              </c:extLst>
            </c:dLbl>
            <c:dLbl>
              <c:idx val="20"/>
              <c:tx>
                <c:strRef>
                  <c:f>'gráfico 10'!$A$22</c:f>
                  <c:strCache>
                    <c:ptCount val="1"/>
                    <c:pt idx="0">
                      <c:v>NZL</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{95CFA2BE-0B2B-47C6-A092-2D1CCBEDD375}</c15:txfldGUID>
                      <c15:f>'gráfico 10'!$A$22</c15:f>
                      <c15:dlblFieldTableCache>
                        <c:ptCount val="1"/>
                        <c:pt idx="0">
                          <c:v>NZL</c:v>
                        </c:pt>
                      </c15:dlblFieldTableCache>
                    </c15:dlblFTEntry>
                  </c15:dlblFieldTable>
                  <c15:showDataLabelsRange val="0"/>
                </c:ext>
                <c:ext xmlns:c16="http://schemas.microsoft.com/office/drawing/2014/chart" uri="{C3380CC4-5D6E-409C-BE32-E72D297353CC}">
                  <c16:uniqueId val="{00000014-8CA2-4B10-B114-F0E5895EE959}"/>
                </c:ext>
              </c:extLst>
            </c:dLbl>
            <c:dLbl>
              <c:idx val="21"/>
              <c:tx>
                <c:strRef>
                  <c:f>'gráfico 10'!$A$23</c:f>
                  <c:strCache>
                    <c:ptCount val="1"/>
                    <c:pt idx="0">
                      <c:v>NOE</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{98EFADF2-6548-476B-A8FB-8A4541BF0A23}</c15:txfldGUID>
                      <c15:f>'gráfico 10'!$A$23</c15:f>
                      <c15:dlblFieldTableCache>
                        <c:ptCount val="1"/>
                        <c:pt idx="0">
                          <c:v>NOE</c:v>
                        </c:pt>
                      </c15:dlblFieldTableCache>
                    </c15:dlblFTEntry>
                  </c15:dlblFieldTable>
                  <c15:showDataLabelsRange val="0"/>
                </c:ext>
                <c:ext xmlns:c16="http://schemas.microsoft.com/office/drawing/2014/chart" uri="{C3380CC4-5D6E-409C-BE32-E72D297353CC}">
                  <c16:uniqueId val="{00000015-8CA2-4B10-B114-F0E5895EE959}"/>
                </c:ext>
              </c:extLst>
            </c:dLbl>
            <c:dLbl>
              <c:idx val="22"/>
              <c:tx>
                <c:strRef>
                  <c:f>'gráfico 10'!$A$24</c:f>
                  <c:strCache>
                    <c:ptCount val="1"/>
                    <c:pt idx="0">
                      <c:v>POL</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{61EC6853-755B-454F-8D87-71447F3C7ECA}</c15:txfldGUID>
                      <c15:f>'gráfico 10'!$A$24</c15:f>
                      <c15:dlblFieldTableCache>
                        <c:ptCount val="1"/>
                        <c:pt idx="0">
                          <c:v>POL</c:v>
                        </c:pt>
                      </c15:dlblFieldTableCache>
                    </c15:dlblFTEntry>
                  </c15:dlblFieldTable>
                  <c15:showDataLabelsRange val="0"/>
                </c:ext>
                <c:ext xmlns:c16="http://schemas.microsoft.com/office/drawing/2014/chart" uri="{C3380CC4-5D6E-409C-BE32-E72D297353CC}">
                  <c16:uniqueId val="{00000016-8CA2-4B10-B114-F0E5895EE959}"/>
                </c:ext>
              </c:extLst>
            </c:dLbl>
            <c:dLbl>
              <c:idx val="23"/>
              <c:tx>
                <c:strRef>
                  <c:f>'gráfico 10'!$A$25</c:f>
                  <c:strCache>
                    <c:ptCount val="1"/>
                    <c:pt idx="0">
                      <c:v>PRT</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{88520F68-A6D5-420B-A041-1903880B86FA}</c15:txfldGUID>
                      <c15:f>'gráfico 10'!$A$25</c15:f>
                      <c15:dlblFieldTableCache>
                        <c:ptCount val="1"/>
                        <c:pt idx="0">
                          <c:v>PRT</c:v>
                        </c:pt>
                      </c15:dlblFieldTableCache>
                    </c15:dlblFTEntry>
                  </c15:dlblFieldTable>
                  <c15:showDataLabelsRange val="0"/>
                </c:ext>
                <c:ext xmlns:c16="http://schemas.microsoft.com/office/drawing/2014/chart" uri="{C3380CC4-5D6E-409C-BE32-E72D297353CC}">
                  <c16:uniqueId val="{00000017-8CA2-4B10-B114-F0E5895EE959}"/>
                </c:ext>
              </c:extLst>
            </c:dLbl>
            <c:dLbl>
              <c:idx val="24"/>
              <c:tx>
                <c:strRef>
                  <c:f>'gráfico 10'!$A$26</c:f>
                  <c:strCache>
                    <c:ptCount val="1"/>
                    <c:pt idx="0">
                      <c:v>SVK</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{3451E71C-EFE4-435A-BA2A-2ADE4E597BBC}</c15:txfldGUID>
                      <c15:f>'gráfico 10'!$A$26</c15:f>
                      <c15:dlblFieldTableCache>
                        <c:ptCount val="1"/>
                        <c:pt idx="0">
                          <c:v>SVK</c:v>
                        </c:pt>
                      </c15:dlblFieldTableCache>
                    </c15:dlblFTEntry>
                  </c15:dlblFieldTable>
                  <c15:showDataLabelsRange val="0"/>
                </c:ext>
                <c:ext xmlns:c16="http://schemas.microsoft.com/office/drawing/2014/chart" uri="{C3380CC4-5D6E-409C-BE32-E72D297353CC}">
                  <c16:uniqueId val="{00000018-8CA2-4B10-B114-F0E5895EE959}"/>
                </c:ext>
              </c:extLst>
            </c:dLbl>
            <c:dLbl>
              <c:idx val="25"/>
              <c:tx>
                <c:strRef>
                  <c:f>'gráfico 10'!$A$27</c:f>
                  <c:strCache>
                    <c:ptCount val="1"/>
                    <c:pt idx="0">
                      <c:v>SVN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{0FC068C5-973A-4466-9CCA-1BE910F474D5}</c15:txfldGUID>
                      <c15:f>'gráfico 10'!$A$27</c15:f>
                      <c15:dlblFieldTableCache>
                        <c:ptCount val="1"/>
                        <c:pt idx="0">
                          <c:v>SVN</c:v>
                        </c:pt>
                      </c15:dlblFieldTableCache>
                    </c15:dlblFTEntry>
                  </c15:dlblFieldTable>
                  <c15:showDataLabelsRange val="0"/>
                </c:ext>
                <c:ext xmlns:c16="http://schemas.microsoft.com/office/drawing/2014/chart" uri="{C3380CC4-5D6E-409C-BE32-E72D297353CC}">
                  <c16:uniqueId val="{00000019-8CA2-4B10-B114-F0E5895EE959}"/>
                </c:ext>
              </c:extLst>
            </c:dLbl>
            <c:dLbl>
              <c:idx val="26"/>
              <c:tx>
                <c:strRef>
                  <c:f>'gráfico 10'!$A$28</c:f>
                  <c:strCache>
                    <c:ptCount val="1"/>
                    <c:pt idx="0">
                      <c:v>ESP</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{F808D629-2F61-44CF-9F19-65E81709C672}</c15:txfldGUID>
                      <c15:f>'gráfico 10'!$A$28</c15:f>
                      <c15:dlblFieldTableCache>
                        <c:ptCount val="1"/>
                        <c:pt idx="0">
                          <c:v>ESP</c:v>
                        </c:pt>
                      </c15:dlblFieldTableCache>
                    </c15:dlblFTEntry>
                  </c15:dlblFieldTable>
                  <c15:showDataLabelsRange val="0"/>
                </c:ext>
                <c:ext xmlns:c16="http://schemas.microsoft.com/office/drawing/2014/chart" uri="{C3380CC4-5D6E-409C-BE32-E72D297353CC}">
                  <c16:uniqueId val="{0000001A-8CA2-4B10-B114-F0E5895EE959}"/>
                </c:ext>
              </c:extLst>
            </c:dLbl>
            <c:dLbl>
              <c:idx val="27"/>
              <c:tx>
                <c:strRef>
                  <c:f>'gráfico 10'!$A$29</c:f>
                  <c:strCache>
                    <c:ptCount val="1"/>
                    <c:pt idx="0">
                      <c:v>SWE</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{A7DC18A7-E48C-4943-A15C-3D299BB24F0D}</c15:txfldGUID>
                      <c15:f>'gráfico 10'!$A$29</c15:f>
                      <c15:dlblFieldTableCache>
                        <c:ptCount val="1"/>
                        <c:pt idx="0">
                          <c:v>SWE</c:v>
                        </c:pt>
                      </c15:dlblFieldTableCache>
                    </c15:dlblFTEntry>
                  </c15:dlblFieldTable>
                  <c15:showDataLabelsRange val="0"/>
                </c:ext>
                <c:ext xmlns:c16="http://schemas.microsoft.com/office/drawing/2014/chart" uri="{C3380CC4-5D6E-409C-BE32-E72D297353CC}">
                  <c16:uniqueId val="{0000001B-8CA2-4B10-B114-F0E5895EE959}"/>
                </c:ext>
              </c:extLst>
            </c:dLbl>
            <c:dLbl>
              <c:idx val="28"/>
              <c:tx>
                <c:strRef>
                  <c:f>'gráfico 10'!$A$30</c:f>
                  <c:strCache>
                    <c:ptCount val="1"/>
                    <c:pt idx="0">
                      <c:v>CHE</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{A5FD5B62-CBED-43F5-82C1-21D623C494E2}</c15:txfldGUID>
                      <c15:f>'gráfico 10'!$A$30</c15:f>
                      <c15:dlblFieldTableCache>
                        <c:ptCount val="1"/>
                        <c:pt idx="0">
                          <c:v>CHE</c:v>
                        </c:pt>
                      </c15:dlblFieldTableCache>
                    </c15:dlblFTEntry>
                  </c15:dlblFieldTable>
                  <c15:showDataLabelsRange val="0"/>
                </c:ext>
                <c:ext xmlns:c16="http://schemas.microsoft.com/office/drawing/2014/chart" uri="{C3380CC4-5D6E-409C-BE32-E72D297353CC}">
                  <c16:uniqueId val="{0000001C-8CA2-4B10-B114-F0E5895EE959}"/>
                </c:ext>
              </c:extLst>
            </c:dLbl>
            <c:dLbl>
              <c:idx val="29"/>
              <c:tx>
                <c:strRef>
                  <c:f>'gráfico 10'!$A$31</c:f>
                  <c:strCache>
                    <c:ptCount val="1"/>
                    <c:pt idx="0">
                      <c:v>TUR</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{33457CE5-581B-422A-A311-4C35905EC23B}</c15:txfldGUID>
                      <c15:f>'gráfico 10'!$A$31</c15:f>
                      <c15:dlblFieldTableCache>
                        <c:ptCount val="1"/>
                        <c:pt idx="0">
                          <c:v>TUR</c:v>
                        </c:pt>
                      </c15:dlblFieldTableCache>
                    </c15:dlblFTEntry>
                  </c15:dlblFieldTable>
                  <c15:showDataLabelsRange val="0"/>
                </c:ext>
                <c:ext xmlns:c16="http://schemas.microsoft.com/office/drawing/2014/chart" uri="{C3380CC4-5D6E-409C-BE32-E72D297353CC}">
                  <c16:uniqueId val="{0000001D-8CA2-4B10-B114-F0E5895EE959}"/>
                </c:ext>
              </c:extLst>
            </c:dLbl>
            <c:dLbl>
              <c:idx val="30"/>
              <c:tx>
                <c:strRef>
                  <c:f>'gráfico 10'!$A$32</c:f>
                  <c:strCache>
                    <c:ptCount val="1"/>
                    <c:pt idx="0">
                      <c:v>GBR</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{E93A2F56-7EB5-4310-A324-021214E9CE49}</c15:txfldGUID>
                      <c15:f>'gráfico 10'!$A$32</c15:f>
                      <c15:dlblFieldTableCache>
                        <c:ptCount val="1"/>
                        <c:pt idx="0">
                          <c:v>GBR</c:v>
                        </c:pt>
                      </c15:dlblFieldTableCache>
                    </c15:dlblFTEntry>
                  </c15:dlblFieldTable>
                  <c15:showDataLabelsRange val="0"/>
                </c:ext>
                <c:ext xmlns:c16="http://schemas.microsoft.com/office/drawing/2014/chart" uri="{C3380CC4-5D6E-409C-BE32-E72D297353CC}">
                  <c16:uniqueId val="{0000001E-8CA2-4B10-B114-F0E5895EE959}"/>
                </c:ext>
              </c:extLst>
            </c:dLbl>
            <c:dLbl>
              <c:idx val="31"/>
              <c:tx>
                <c:strRef>
                  <c:f>'gráfico 10'!$A$33</c:f>
                  <c:strCache>
                    <c:ptCount val="1"/>
                    <c:pt idx="0">
                      <c:v>USA</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{07DD1FE2-1175-4FCF-98C5-7D5A09A67945}</c15:txfldGUID>
                      <c15:f>'gráfico 10'!$A$33</c15:f>
                      <c15:dlblFieldTableCache>
                        <c:ptCount val="1"/>
                        <c:pt idx="0">
                          <c:v>USA</c:v>
                        </c:pt>
                      </c15:dlblFieldTableCache>
                    </c15:dlblFTEntry>
                  </c15:dlblFieldTable>
                  <c15:showDataLabelsRange val="0"/>
                </c:ext>
                <c:ext xmlns:c16="http://schemas.microsoft.com/office/drawing/2014/chart" uri="{C3380CC4-5D6E-409C-BE32-E72D297353CC}">
                  <c16:uniqueId val="{0000001F-8CA2-4B10-B114-F0E5895EE959}"/>
                </c:ext>
              </c:extLst>
            </c:dLbl>
            <c:dLbl>
              <c:idx val="32"/>
              <c:tx>
                <c:strRef>
                  <c:f>'gráfico 10'!$A$34</c:f>
                  <c:strCache>
                    <c:ptCount val="1"/>
                    <c:pt idx="0">
                      <c:v>OECD</c:v>
                    </c:pt>
                  </c:strCache>
                </c:strRef>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n-lt"/>
                      <a:ea typeface="+mn-ea"/>
                      <a:cs typeface="+mn-cs"/>
                    </a:defRPr>
                  </a:pPr>
                  <a:endParaRPr lang="es-CL"/>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{45414C12-E2A3-453F-99FC-41C4ACAC98A8}</c15:txfldGUID>
                      <c15:f>'gráfico 10'!$A$34</c15:f>
                      <c15:dlblFieldTableCache>
                        <c:ptCount val="1"/>
                        <c:pt idx="0">
                          <c:v>OECD</c:v>
                        </c:pt>
                      </c15:dlblFieldTableCache>
                    </c15:dlblFTEntry>
                  </c15:dlblFieldTable>
                  <c15:showDataLabelsRange val="0"/>
                </c:ext>
                <c:ext xmlns:c16="http://schemas.microsoft.com/office/drawing/2014/chart" uri="{C3380CC4-5D6E-409C-BE32-E72D297353CC}">
                  <c16:uniqueId val="{00000020-8CA2-4B10-B114-F0E5895EE959}"/>
                </c:ext>
              </c:extLst>
            </c:dLbl>
            <c:dLbl>
              <c:idx val="33"/>
              <c:tx>
                <c:strRef>
                  <c:f>'gráfico 10'!$A$35</c:f>
                  <c:strCache>
                    <c:ptCount val="1"/>
                    <c:pt idx="0">
                      <c:v>ARG</c:v>
                    </c:pt>
                  </c:strCache>
                </c:strRef>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s-CL"/>
                </a:p>
              </c:txPr>
              <c:dLblPos val="ctr"/>
              <c:showLegendKey val="0"/>
              <c:showVal val="1"/>
              <c:showCatName val="0"/>
              <c:showSerName val="0"/>
              <c:showPercent val="0"/>
              <c:showBubbleSize val="0"/>
              <c:extLst>
                <c:ext xmlns:c15="http://schemas.microsoft.com/office/drawing/2012/chart" uri="{CE6537A1-D6FC-4f65-9D91-7224C49458BB}">
                  <c15:dlblFieldTable>
                    <c15:dlblFTEntry>
                      <c15:txfldGUID>{7F62C99B-EEA8-4C55-87BE-8A9EE5BBCFDF}</c15:txfldGUID>
                      <c15:f>'gráfico 10'!$A$35</c15:f>
                      <c15:dlblFieldTableCache>
                        <c:ptCount val="1"/>
                        <c:pt idx="0">
                          <c:v>ARG</c:v>
                        </c:pt>
                      </c15:dlblFieldTableCache>
                    </c15:dlblFTEntry>
                  </c15:dlblFieldTable>
                  <c15:showDataLabelsRange val="0"/>
                </c:ext>
                <c:ext xmlns:c16="http://schemas.microsoft.com/office/drawing/2014/chart" uri="{C3380CC4-5D6E-409C-BE32-E72D297353CC}">
                  <c16:uniqueId val="{00000021-8CA2-4B10-B114-F0E5895EE959}"/>
                </c:ext>
              </c:extLst>
            </c:dLbl>
            <c:dLbl>
              <c:idx val="34"/>
              <c:tx>
                <c:strRef>
                  <c:f>'gráfico 10'!$A$36</c:f>
                  <c:strCache>
                    <c:ptCount val="1"/>
                    <c:pt idx="0">
                      <c:v>CHN</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{D7BF1582-7787-4C53-963D-72E24B5832BF}</c15:txfldGUID>
                      <c15:f>'gráfico 10'!$A$36</c15:f>
                      <c15:dlblFieldTableCache>
                        <c:ptCount val="1"/>
                        <c:pt idx="0">
                          <c:v>CHN</c:v>
                        </c:pt>
                      </c15:dlblFieldTableCache>
                    </c15:dlblFTEntry>
                  </c15:dlblFieldTable>
                  <c15:showDataLabelsRange val="0"/>
                </c:ext>
                <c:ext xmlns:c16="http://schemas.microsoft.com/office/drawing/2014/chart" uri="{C3380CC4-5D6E-409C-BE32-E72D297353CC}">
                  <c16:uniqueId val="{00000022-8CA2-4B10-B114-F0E5895EE959}"/>
                </c:ext>
              </c:extLst>
            </c:dLbl>
            <c:dLbl>
              <c:idx val="35"/>
              <c:layout>
                <c:manualLayout>
                  <c:x val="-6.0669834804254377E-2"/>
                  <c:y val="2.6877706435717484E-2"/>
                </c:manualLayout>
              </c:layout>
              <c:tx>
                <c:strRef>
                  <c:f>'gráfico 10'!$A$37</c:f>
                  <c:strCache>
                    <c:ptCount val="1"/>
                    <c:pt idx="0">
                      <c:v>ROU</c:v>
                    </c:pt>
                  </c:strCache>
                </c:strRef>
              </c:tx>
              <c:dLblPos val="r"/>
              <c:showLegendKey val="0"/>
              <c:showVal val="1"/>
              <c:showCatName val="0"/>
              <c:showSerName val="0"/>
              <c:showPercent val="0"/>
              <c:showBubbleSize val="0"/>
              <c:extLst>
                <c:ext xmlns:c15="http://schemas.microsoft.com/office/drawing/2012/chart" uri="{CE6537A1-D6FC-4f65-9D91-7224C49458BB}">
                  <c15:dlblFieldTable>
                    <c15:dlblFTEntry>
                      <c15:txfldGUID>{EBC38278-0F68-465D-B91F-E72054586C0A}</c15:txfldGUID>
                      <c15:f>'gráfico 10'!$A$37</c15:f>
                      <c15:dlblFieldTableCache>
                        <c:ptCount val="1"/>
                        <c:pt idx="0">
                          <c:v>ROU</c:v>
                        </c:pt>
                      </c15:dlblFieldTableCache>
                    </c15:dlblFTEntry>
                  </c15:dlblFieldTable>
                  <c15:showDataLabelsRange val="0"/>
                </c:ext>
                <c:ext xmlns:c16="http://schemas.microsoft.com/office/drawing/2014/chart" uri="{C3380CC4-5D6E-409C-BE32-E72D297353CC}">
                  <c16:uniqueId val="{00000023-8CA2-4B10-B114-F0E5895EE959}"/>
                </c:ext>
              </c:extLst>
            </c:dLbl>
            <c:dLbl>
              <c:idx val="36"/>
              <c:tx>
                <c:strRef>
                  <c:f>'gráfico 10'!$A$38</c:f>
                  <c:strCache>
                    <c:ptCount val="1"/>
                    <c:pt idx="0">
                      <c:v>RUS</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{78D94699-2C3D-492F-A4E3-926F1C6F75ED}</c15:txfldGUID>
                      <c15:f>'gráfico 10'!$A$38</c15:f>
                      <c15:dlblFieldTableCache>
                        <c:ptCount val="1"/>
                        <c:pt idx="0">
                          <c:v>RUS</c:v>
                        </c:pt>
                      </c15:dlblFieldTableCache>
                    </c15:dlblFTEntry>
                  </c15:dlblFieldTable>
                  <c15:showDataLabelsRange val="0"/>
                </c:ext>
                <c:ext xmlns:c16="http://schemas.microsoft.com/office/drawing/2014/chart" uri="{C3380CC4-5D6E-409C-BE32-E72D297353CC}">
                  <c16:uniqueId val="{00000024-8CA2-4B10-B114-F0E5895EE959}"/>
                </c:ext>
              </c:extLst>
            </c:dLbl>
            <c:dLbl>
              <c:idx val="37"/>
              <c:tx>
                <c:strRef>
                  <c:f>'gráfico 10'!$A$39</c:f>
                  <c:strCache>
                    <c:ptCount val="1"/>
                    <c:pt idx="0">
                      <c:v>SGP</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{15327D30-200C-4C95-9F8F-C37E9F24E309}</c15:txfldGUID>
                      <c15:f>'gráfico 10'!$A$39</c15:f>
                      <c15:dlblFieldTableCache>
                        <c:ptCount val="1"/>
                        <c:pt idx="0">
                          <c:v>SGP</c:v>
                        </c:pt>
                      </c15:dlblFieldTableCache>
                    </c15:dlblFTEntry>
                  </c15:dlblFieldTable>
                  <c15:showDataLabelsRange val="0"/>
                </c:ext>
                <c:ext xmlns:c16="http://schemas.microsoft.com/office/drawing/2014/chart" uri="{C3380CC4-5D6E-409C-BE32-E72D297353CC}">
                  <c16:uniqueId val="{00000025-8CA2-4B10-B114-F0E5895EE959}"/>
                </c:ext>
              </c:extLst>
            </c:dLbl>
            <c:dLbl>
              <c:idx val="38"/>
              <c:tx>
                <c:strRef>
                  <c:f>'gráfico 10'!$A$40</c:f>
                  <c:strCache>
                    <c:ptCount val="1"/>
                    <c:pt idx="0">
                      <c:v>ZAF</c:v>
                    </c:pt>
                  </c:strCache>
                </c:strRef>
              </c:tx>
              <c:dLblPos val="ctr"/>
              <c:showLegendKey val="0"/>
              <c:showVal val="1"/>
              <c:showCatName val="0"/>
              <c:showSerName val="0"/>
              <c:showPercent val="0"/>
              <c:showBubbleSize val="0"/>
              <c:extLst>
                <c:ext xmlns:c15="http://schemas.microsoft.com/office/drawing/2012/chart" uri="{CE6537A1-D6FC-4f65-9D91-7224C49458BB}">
                  <c15:dlblFieldTable>
                    <c15:dlblFTEntry>
                      <c15:txfldGUID>{CCCC4315-62EC-4CE2-BB61-37CE0D80AC77}</c15:txfldGUID>
                      <c15:f>'gráfico 10'!$A$40</c15:f>
                      <c15:dlblFieldTableCache>
                        <c:ptCount val="1"/>
                        <c:pt idx="0">
                          <c:v>ZAF</c:v>
                        </c:pt>
                      </c15:dlblFieldTableCache>
                    </c15:dlblFTEntry>
                  </c15:dlblFieldTable>
                  <c15:showDataLabelsRange val="0"/>
                </c:ext>
                <c:ext xmlns:c16="http://schemas.microsoft.com/office/drawing/2014/chart" uri="{C3380CC4-5D6E-409C-BE32-E72D297353CC}">
                  <c16:uniqueId val="{00000026-8CA2-4B10-B114-F0E5895EE9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og"/>
            <c:dispRSqr val="0"/>
            <c:dispEq val="1"/>
            <c:trendlineLbl>
              <c:layout>
                <c:manualLayout>
                  <c:x val="-5.3439901168939345E-3"/>
                  <c:y val="0.40505830980481561"/>
                </c:manualLayout>
              </c:layout>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s-CL"/>
                </a:p>
              </c:txPr>
            </c:trendlineLbl>
          </c:trendline>
          <c:xVal>
            <c:numRef>
              <c:f>'gráfico 10'!$C$2:$C$40</c:f>
              <c:numCache>
                <c:formatCode>0.0%</c:formatCode>
                <c:ptCount val="39"/>
                <c:pt idx="0">
                  <c:v>2.8097795696609501E-2</c:v>
                </c:pt>
                <c:pt idx="1">
                  <c:v>2.2427322998312703E-2</c:v>
                </c:pt>
                <c:pt idx="2">
                  <c:v>1.7095632002131898E-2</c:v>
                </c:pt>
                <c:pt idx="3">
                  <c:v>3.6317323458800997E-3</c:v>
                </c:pt>
                <c:pt idx="4">
                  <c:v>1.78770052931621E-2</c:v>
                </c:pt>
                <c:pt idx="5">
                  <c:v>3.0228583029914099E-2</c:v>
                </c:pt>
                <c:pt idx="6">
                  <c:v>2.1585345801260099E-2</c:v>
                </c:pt>
                <c:pt idx="7">
                  <c:v>3.4319195856713003E-2</c:v>
                </c:pt>
                <c:pt idx="8">
                  <c:v>2.2258888917051099E-2</c:v>
                </c:pt>
                <c:pt idx="9">
                  <c:v>2.8768456312891398E-2</c:v>
                </c:pt>
                <c:pt idx="10">
                  <c:v>6.887602727029301E-3</c:v>
                </c:pt>
                <c:pt idx="11">
                  <c:v>1.2739008294569301E-2</c:v>
                </c:pt>
                <c:pt idx="12">
                  <c:v>1.5764548011739602E-2</c:v>
                </c:pt>
                <c:pt idx="13">
                  <c:v>4.2469274967720801E-2</c:v>
                </c:pt>
                <c:pt idx="14">
                  <c:v>1.2593642276063199E-2</c:v>
                </c:pt>
                <c:pt idx="15">
                  <c:v>3.3525453214180302E-2</c:v>
                </c:pt>
                <c:pt idx="16">
                  <c:v>4.0255432819921E-2</c:v>
                </c:pt>
                <c:pt idx="17">
                  <c:v>1.1560506253994301E-2</c:v>
                </c:pt>
                <c:pt idx="18">
                  <c:v>4.2617458788710002E-3</c:v>
                </c:pt>
                <c:pt idx="19">
                  <c:v>1.9677159389614202E-2</c:v>
                </c:pt>
                <c:pt idx="20">
                  <c:v>1.26572059271149E-2</c:v>
                </c:pt>
                <c:pt idx="21">
                  <c:v>1.6202404687967898E-2</c:v>
                </c:pt>
                <c:pt idx="22">
                  <c:v>8.8823221805871995E-3</c:v>
                </c:pt>
                <c:pt idx="23">
                  <c:v>1.3674532607210901E-2</c:v>
                </c:pt>
                <c:pt idx="24">
                  <c:v>8.1073251696047004E-3</c:v>
                </c:pt>
                <c:pt idx="25">
                  <c:v>2.57820150166377E-2</c:v>
                </c:pt>
                <c:pt idx="26">
                  <c:v>1.2691565433802302E-2</c:v>
                </c:pt>
                <c:pt idx="27">
                  <c:v>3.2813449848024298E-2</c:v>
                </c:pt>
                <c:pt idx="28">
                  <c:v>2.9635336388040702E-2</c:v>
                </c:pt>
                <c:pt idx="29">
                  <c:v>9.2195633229221995E-3</c:v>
                </c:pt>
                <c:pt idx="30">
                  <c:v>1.63140395219478E-2</c:v>
                </c:pt>
                <c:pt idx="31">
                  <c:v>2.8060371895329797E-2</c:v>
                </c:pt>
                <c:pt idx="32">
                  <c:v>2.37090119322368E-2</c:v>
                </c:pt>
                <c:pt idx="33">
                  <c:v>5.8379736015424996E-3</c:v>
                </c:pt>
                <c:pt idx="34">
                  <c:v>1.9453019367244698E-2</c:v>
                </c:pt>
                <c:pt idx="35">
                  <c:v>4.8145082426722004E-3</c:v>
                </c:pt>
                <c:pt idx="36">
                  <c:v>1.1248602498922799E-2</c:v>
                </c:pt>
                <c:pt idx="37">
                  <c:v>2.0206067116715198E-2</c:v>
                </c:pt>
                <c:pt idx="38">
                  <c:v>7.6047693836851001E-3</c:v>
                </c:pt>
              </c:numCache>
            </c:numRef>
          </c:xVal>
          <c:yVal>
            <c:numLit>
              <c:formatCode>General</c:formatCode>
              <c:ptCount val="39"/>
              <c:pt idx="0">
                <c:v>44.013512861564998</c:v>
              </c:pt>
              <c:pt idx="1">
                <c:v>60.150871953576797</c:v>
              </c:pt>
              <c:pt idx="2">
                <c:v>47.380693796716301</c:v>
              </c:pt>
              <c:pt idx="3">
                <c:v>34.945640581874997</c:v>
              </c:pt>
              <c:pt idx="4">
                <c:v>36.384709305422298</c:v>
              </c:pt>
              <c:pt idx="5">
                <c:v>59.9796821142425</c:v>
              </c:pt>
              <c:pt idx="6">
                <c:v>51.291415404522297</c:v>
              </c:pt>
              <c:pt idx="7">
                <c:v>63.056127383821298</c:v>
              </c:pt>
              <c:pt idx="8">
                <c:v>55.3783732394593</c:v>
              </c:pt>
              <c:pt idx="9">
                <c:v>66.074454588189198</c:v>
              </c:pt>
              <c:pt idx="10">
                <c:v>31.010765550239199</c:v>
              </c:pt>
              <c:pt idx="11">
                <c:v>46.882260779568199</c:v>
              </c:pt>
              <c:pt idx="12">
                <c:v>50.341484908570202</c:v>
              </c:pt>
              <c:pt idx="13">
                <c:v>35.598797703671003</c:v>
              </c:pt>
              <c:pt idx="14">
                <c:v>44.287769784172703</c:v>
              </c:pt>
              <c:pt idx="15">
                <c:v>76.115377428480897</c:v>
              </c:pt>
              <c:pt idx="16">
                <c:v>74.729861293478805</c:v>
              </c:pt>
              <c:pt idx="17">
                <c:v>47.812338886971702</c:v>
              </c:pt>
              <c:pt idx="18">
                <c:v>36.755063093648999</c:v>
              </c:pt>
              <c:pt idx="19">
                <c:v>48.215553033363598</c:v>
              </c:pt>
              <c:pt idx="20">
                <c:v>39.961904761904798</c:v>
              </c:pt>
              <c:pt idx="21">
                <c:v>44.197014110791301</c:v>
              </c:pt>
              <c:pt idx="22">
                <c:v>32.304273004061898</c:v>
              </c:pt>
              <c:pt idx="23">
                <c:v>46.038735368940998</c:v>
              </c:pt>
              <c:pt idx="24">
                <c:v>37.7058780107213</c:v>
              </c:pt>
              <c:pt idx="25">
                <c:v>62.221939748315798</c:v>
              </c:pt>
              <c:pt idx="26">
                <c:v>45.642899252388503</c:v>
              </c:pt>
              <c:pt idx="27">
                <c:v>57.308994053728497</c:v>
              </c:pt>
              <c:pt idx="28">
                <c:v>60.777957860615899</c:v>
              </c:pt>
              <c:pt idx="29">
                <c:v>46.774158328215997</c:v>
              </c:pt>
              <c:pt idx="30">
                <c:v>45.609123898393001</c:v>
              </c:pt>
              <c:pt idx="31">
                <c:v>59.128772511597603</c:v>
              </c:pt>
              <c:pt idx="32">
                <c:v>60.0494317514109</c:v>
              </c:pt>
              <c:pt idx="33">
                <c:v>21.340290351997201</c:v>
              </c:pt>
              <c:pt idx="34">
                <c:v>74.040789213168793</c:v>
              </c:pt>
              <c:pt idx="35">
                <c:v>34.406807745111998</c:v>
              </c:pt>
              <c:pt idx="36">
                <c:v>27.225906875821799</c:v>
              </c:pt>
              <c:pt idx="37">
                <c:v>53.373178605525297</c:v>
              </c:pt>
              <c:pt idx="38">
                <c:v>38.339231859085203</c:v>
              </c:pt>
            </c:numLit>
          </c:yVal>
          <c:smooth val="0"/>
          <c:extLst>
            <c:ext xmlns:c16="http://schemas.microsoft.com/office/drawing/2014/chart" uri="{C3380CC4-5D6E-409C-BE32-E72D297353CC}">
              <c16:uniqueId val="{00000027-8CA2-4B10-B114-F0E5895EE959}"/>
            </c:ext>
          </c:extLst>
        </c:ser>
        <c:dLbls>
          <c:showLegendKey val="0"/>
          <c:showVal val="0"/>
          <c:showCatName val="0"/>
          <c:showSerName val="0"/>
          <c:showPercent val="0"/>
          <c:showBubbleSize val="0"/>
        </c:dLbls>
        <c:axId val="191110080"/>
        <c:axId val="191110640"/>
      </c:scatterChart>
      <c:valAx>
        <c:axId val="1911100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 de</a:t>
                </a:r>
                <a:r>
                  <a:rPr lang="es-CL" baseline="0"/>
                  <a:t> I+D sobre el PIB</a:t>
                </a:r>
                <a:endParaRPr lang="es-C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1110640"/>
        <c:crosses val="autoZero"/>
        <c:crossBetween val="midCat"/>
      </c:valAx>
      <c:valAx>
        <c:axId val="1911106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 I+D financiada</a:t>
                </a:r>
                <a:r>
                  <a:rPr lang="es-CL" baseline="0"/>
                  <a:t> por empresas</a:t>
                </a:r>
                <a:endParaRPr lang="es-C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91110080"/>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'G2.1'!$C$2</c:f>
              <c:strCache>
                <c:ptCount val="1"/>
                <c:pt idx="0">
                  <c:v>Contrato</c:v>
                </c:pt>
              </c:strCache>
            </c:strRef>
          </c:tx>
          <c:spPr>
            <a:solidFill>
              <a:schemeClr val="accent1"/>
            </a:solidFill>
            <a:ln>
              <a:noFill/>
            </a:ln>
            <a:effectLst/>
          </c:spPr>
          <c:invertIfNegative val="0"/>
          <c:cat>
            <c:numRef>
              <c:f>'G2.1'!$B$3:$B$10</c:f>
              <c:numCache>
                <c:formatCode>General</c:formatCode>
                <c:ptCount val="8"/>
                <c:pt idx="0">
                  <c:v>2008</c:v>
                </c:pt>
                <c:pt idx="1">
                  <c:v>2009</c:v>
                </c:pt>
                <c:pt idx="2">
                  <c:v>2010</c:v>
                </c:pt>
                <c:pt idx="3">
                  <c:v>2011</c:v>
                </c:pt>
                <c:pt idx="4">
                  <c:v>2012</c:v>
                </c:pt>
                <c:pt idx="5">
                  <c:v>2013</c:v>
                </c:pt>
                <c:pt idx="6">
                  <c:v>2014</c:v>
                </c:pt>
                <c:pt idx="7">
                  <c:v>2015</c:v>
                </c:pt>
              </c:numCache>
            </c:numRef>
          </c:cat>
          <c:val>
            <c:numRef>
              <c:f>'G2.1'!$C$3:$C$10</c:f>
              <c:numCache>
                <c:formatCode>_-* #,##0_-;\-* #,##0_-;_-* "-"??_-;_-@_-</c:formatCode>
                <c:ptCount val="8"/>
                <c:pt idx="0">
                  <c:v>71.726122689075638</c:v>
                </c:pt>
                <c:pt idx="1">
                  <c:v>582.21512219327735</c:v>
                </c:pt>
                <c:pt idx="2">
                  <c:v>1919.1307333777791</c:v>
                </c:pt>
                <c:pt idx="3">
                  <c:v>3386.192606257915</c:v>
                </c:pt>
                <c:pt idx="4">
                  <c:v>1472.6409089714998</c:v>
                </c:pt>
                <c:pt idx="5">
                  <c:v>426.567972</c:v>
                </c:pt>
                <c:pt idx="6">
                  <c:v>905.65617899999995</c:v>
                </c:pt>
                <c:pt idx="7">
                  <c:v>292.70406800000001</c:v>
                </c:pt>
              </c:numCache>
            </c:numRef>
          </c:val>
          <c:extLst>
            <c:ext xmlns:c16="http://schemas.microsoft.com/office/drawing/2014/chart" uri="{C3380CC4-5D6E-409C-BE32-E72D297353CC}">
              <c16:uniqueId val="{00000000-8F7A-4942-A114-4AA2EF745E04}"/>
            </c:ext>
          </c:extLst>
        </c:ser>
        <c:ser>
          <c:idx val="1"/>
          <c:order val="1"/>
          <c:tx>
            <c:strRef>
              <c:f>'G2.1'!$D$2</c:f>
              <c:strCache>
                <c:ptCount val="1"/>
                <c:pt idx="0">
                  <c:v>Proyecto</c:v>
                </c:pt>
              </c:strCache>
            </c:strRef>
          </c:tx>
          <c:spPr>
            <a:solidFill>
              <a:schemeClr val="accent2"/>
            </a:solidFill>
            <a:ln>
              <a:noFill/>
            </a:ln>
            <a:effectLst/>
          </c:spPr>
          <c:invertIfNegative val="0"/>
          <c:cat>
            <c:numRef>
              <c:f>'G2.1'!$B$3:$B$10</c:f>
              <c:numCache>
                <c:formatCode>General</c:formatCode>
                <c:ptCount val="8"/>
                <c:pt idx="0">
                  <c:v>2008</c:v>
                </c:pt>
                <c:pt idx="1">
                  <c:v>2009</c:v>
                </c:pt>
                <c:pt idx="2">
                  <c:v>2010</c:v>
                </c:pt>
                <c:pt idx="3">
                  <c:v>2011</c:v>
                </c:pt>
                <c:pt idx="4">
                  <c:v>2012</c:v>
                </c:pt>
                <c:pt idx="5">
                  <c:v>2013</c:v>
                </c:pt>
                <c:pt idx="6">
                  <c:v>2014</c:v>
                </c:pt>
                <c:pt idx="7">
                  <c:v>2015</c:v>
                </c:pt>
              </c:numCache>
            </c:numRef>
          </c:cat>
          <c:val>
            <c:numRef>
              <c:f>'G2.1'!$D$3:$D$10</c:f>
              <c:numCache>
                <c:formatCode>_-* #,##0_-;\-* #,##0_-;_-* "-"??_-;_-@_-</c:formatCode>
                <c:ptCount val="8"/>
                <c:pt idx="0">
                  <c:v>0</c:v>
                </c:pt>
                <c:pt idx="1">
                  <c:v>0</c:v>
                </c:pt>
                <c:pt idx="2">
                  <c:v>0</c:v>
                </c:pt>
                <c:pt idx="3">
                  <c:v>0</c:v>
                </c:pt>
                <c:pt idx="4">
                  <c:v>4563.6976180000001</c:v>
                </c:pt>
                <c:pt idx="5">
                  <c:v>18081.613554</c:v>
                </c:pt>
                <c:pt idx="6">
                  <c:v>32375.77826470591</c:v>
                </c:pt>
                <c:pt idx="7">
                  <c:v>50853.356422328667</c:v>
                </c:pt>
              </c:numCache>
            </c:numRef>
          </c:val>
          <c:extLst>
            <c:ext xmlns:c16="http://schemas.microsoft.com/office/drawing/2014/chart" uri="{C3380CC4-5D6E-409C-BE32-E72D297353CC}">
              <c16:uniqueId val="{00000001-8F7A-4942-A114-4AA2EF745E04}"/>
            </c:ext>
          </c:extLst>
        </c:ser>
        <c:dLbls>
          <c:showLegendKey val="0"/>
          <c:showVal val="0"/>
          <c:showCatName val="0"/>
          <c:showSerName val="0"/>
          <c:showPercent val="0"/>
          <c:showBubbleSize val="0"/>
        </c:dLbls>
        <c:gapWidth val="150"/>
        <c:overlap val="100"/>
        <c:axId val="2044561631"/>
        <c:axId val="2044562879"/>
      </c:barChart>
      <c:catAx>
        <c:axId val="2044561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44562879"/>
        <c:crosses val="autoZero"/>
        <c:auto val="1"/>
        <c:lblAlgn val="ctr"/>
        <c:lblOffset val="100"/>
        <c:noMultiLvlLbl val="0"/>
      </c:catAx>
      <c:valAx>
        <c:axId val="2044562879"/>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44561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'G2.2'!$C$2</c:f>
              <c:strCache>
                <c:ptCount val="1"/>
                <c:pt idx="0">
                  <c:v>Grande</c:v>
                </c:pt>
              </c:strCache>
            </c:strRef>
          </c:tx>
          <c:spPr>
            <a:solidFill>
              <a:schemeClr val="accent1"/>
            </a:solidFill>
            <a:ln>
              <a:noFill/>
            </a:ln>
            <a:effectLst/>
          </c:spPr>
          <c:cat>
            <c:numRef>
              <c:f>'G2.2'!$B$3:$B$10</c:f>
              <c:numCache>
                <c:formatCode>General</c:formatCode>
                <c:ptCount val="8"/>
                <c:pt idx="0">
                  <c:v>2008</c:v>
                </c:pt>
                <c:pt idx="1">
                  <c:v>2009</c:v>
                </c:pt>
                <c:pt idx="2">
                  <c:v>2010</c:v>
                </c:pt>
                <c:pt idx="3">
                  <c:v>2011</c:v>
                </c:pt>
                <c:pt idx="4">
                  <c:v>2012</c:v>
                </c:pt>
                <c:pt idx="5">
                  <c:v>2013</c:v>
                </c:pt>
                <c:pt idx="6">
                  <c:v>2014</c:v>
                </c:pt>
                <c:pt idx="7">
                  <c:v>2015</c:v>
                </c:pt>
              </c:numCache>
            </c:numRef>
          </c:cat>
          <c:val>
            <c:numRef>
              <c:f>'G2.2'!$C$3:$C$10</c:f>
              <c:numCache>
                <c:formatCode>_-* #,##0_-;\-* #,##0_-;_-* "-"??_-;_-@_-</c:formatCode>
                <c:ptCount val="8"/>
                <c:pt idx="0">
                  <c:v>71.726122689075638</c:v>
                </c:pt>
                <c:pt idx="1">
                  <c:v>582.21512219327735</c:v>
                </c:pt>
                <c:pt idx="2">
                  <c:v>1892.3660923357622</c:v>
                </c:pt>
                <c:pt idx="3">
                  <c:v>3146.3861669179155</c:v>
                </c:pt>
                <c:pt idx="4">
                  <c:v>5078.1763703714996</c:v>
                </c:pt>
                <c:pt idx="5">
                  <c:v>16707.135458000001</c:v>
                </c:pt>
                <c:pt idx="6">
                  <c:v>29048.618600705911</c:v>
                </c:pt>
                <c:pt idx="7">
                  <c:v>40266.404923050577</c:v>
                </c:pt>
              </c:numCache>
            </c:numRef>
          </c:val>
          <c:extLst>
            <c:ext xmlns:c16="http://schemas.microsoft.com/office/drawing/2014/chart" uri="{C3380CC4-5D6E-409C-BE32-E72D297353CC}">
              <c16:uniqueId val="{00000000-876A-4B2C-B017-C1851C11551F}"/>
            </c:ext>
          </c:extLst>
        </c:ser>
        <c:ser>
          <c:idx val="1"/>
          <c:order val="1"/>
          <c:tx>
            <c:strRef>
              <c:f>'G2.2'!$D$2</c:f>
              <c:strCache>
                <c:ptCount val="1"/>
                <c:pt idx="0">
                  <c:v>Pyme</c:v>
                </c:pt>
              </c:strCache>
            </c:strRef>
          </c:tx>
          <c:spPr>
            <a:solidFill>
              <a:schemeClr val="accent2"/>
            </a:solidFill>
            <a:ln>
              <a:noFill/>
            </a:ln>
            <a:effectLst/>
          </c:spPr>
          <c:cat>
            <c:numRef>
              <c:f>'G2.2'!$B$3:$B$10</c:f>
              <c:numCache>
                <c:formatCode>General</c:formatCode>
                <c:ptCount val="8"/>
                <c:pt idx="0">
                  <c:v>2008</c:v>
                </c:pt>
                <c:pt idx="1">
                  <c:v>2009</c:v>
                </c:pt>
                <c:pt idx="2">
                  <c:v>2010</c:v>
                </c:pt>
                <c:pt idx="3">
                  <c:v>2011</c:v>
                </c:pt>
                <c:pt idx="4">
                  <c:v>2012</c:v>
                </c:pt>
                <c:pt idx="5">
                  <c:v>2013</c:v>
                </c:pt>
                <c:pt idx="6">
                  <c:v>2014</c:v>
                </c:pt>
                <c:pt idx="7">
                  <c:v>2015</c:v>
                </c:pt>
              </c:numCache>
            </c:numRef>
          </c:cat>
          <c:val>
            <c:numRef>
              <c:f>'G2.2'!$D$3:$D$10</c:f>
              <c:numCache>
                <c:formatCode>_-* #,##0_-;\-* #,##0_-;_-* "-"??_-;_-@_-</c:formatCode>
                <c:ptCount val="8"/>
                <c:pt idx="0">
                  <c:v>0</c:v>
                </c:pt>
                <c:pt idx="1">
                  <c:v>0</c:v>
                </c:pt>
                <c:pt idx="2">
                  <c:v>26.764641042016809</c:v>
                </c:pt>
                <c:pt idx="3">
                  <c:v>239.80643934</c:v>
                </c:pt>
                <c:pt idx="4">
                  <c:v>958.1621566</c:v>
                </c:pt>
                <c:pt idx="5">
                  <c:v>1801.0460680000001</c:v>
                </c:pt>
                <c:pt idx="6">
                  <c:v>4232.8158430000003</c:v>
                </c:pt>
                <c:pt idx="7">
                  <c:v>10879.655567278094</c:v>
                </c:pt>
              </c:numCache>
            </c:numRef>
          </c:val>
          <c:extLst>
            <c:ext xmlns:c16="http://schemas.microsoft.com/office/drawing/2014/chart" uri="{C3380CC4-5D6E-409C-BE32-E72D297353CC}">
              <c16:uniqueId val="{00000001-876A-4B2C-B017-C1851C11551F}"/>
            </c:ext>
          </c:extLst>
        </c:ser>
        <c:dLbls>
          <c:showLegendKey val="0"/>
          <c:showVal val="0"/>
          <c:showCatName val="0"/>
          <c:showSerName val="0"/>
          <c:showPercent val="0"/>
          <c:showBubbleSize val="0"/>
        </c:dLbls>
        <c:axId val="2044551231"/>
        <c:axId val="2044563711"/>
      </c:areaChart>
      <c:catAx>
        <c:axId val="20445512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44563711"/>
        <c:crosses val="autoZero"/>
        <c:auto val="1"/>
        <c:lblAlgn val="ctr"/>
        <c:lblOffset val="100"/>
        <c:noMultiLvlLbl val="0"/>
      </c:catAx>
      <c:valAx>
        <c:axId val="2044563711"/>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44551231"/>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zero"/>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70B-4BCC-B3DF-FAD462FC3D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70B-4BCC-B3DF-FAD462FC3D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70B-4BCC-B3DF-FAD462FC3D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70B-4BCC-B3DF-FAD462FC3D6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70B-4BCC-B3DF-FAD462FC3D6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70B-4BCC-B3DF-FAD462FC3D6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70B-4BCC-B3DF-FAD462FC3D6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70B-4BCC-B3DF-FAD462FC3D6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70B-4BCC-B3DF-FAD462FC3D6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70B-4BCC-B3DF-FAD462FC3D6E}"/>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70B-4BCC-B3DF-FAD462FC3D6E}"/>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'G2.3'!$G$15:$G$25</c:f>
              <c:strCache>
                <c:ptCount val="11"/>
                <c:pt idx="0">
                  <c:v>Minería</c:v>
                </c:pt>
                <c:pt idx="1">
                  <c:v>Pesca y Acuicultura</c:v>
                </c:pt>
                <c:pt idx="2">
                  <c:v>Agropecuario</c:v>
                </c:pt>
                <c:pt idx="3">
                  <c:v>Forestal</c:v>
                </c:pt>
                <c:pt idx="4">
                  <c:v>Otros</c:v>
                </c:pt>
                <c:pt idx="5">
                  <c:v>Vitivinícola</c:v>
                </c:pt>
                <c:pt idx="6">
                  <c:v>Biomedicina</c:v>
                </c:pt>
                <c:pt idx="7">
                  <c:v>Alimentos</c:v>
                </c:pt>
                <c:pt idx="8">
                  <c:v>Frutícola</c:v>
                </c:pt>
                <c:pt idx="9">
                  <c:v>Energía</c:v>
                </c:pt>
                <c:pt idx="10">
                  <c:v>Tic's</c:v>
                </c:pt>
              </c:strCache>
            </c:strRef>
          </c:cat>
          <c:val>
            <c:numRef>
              <c:f>'G2.3'!$H$15:$H$25</c:f>
              <c:numCache>
                <c:formatCode>_-* #,##0_-;\-* #,##0_-;_-* "-"??_-;_-@_-</c:formatCode>
                <c:ptCount val="11"/>
                <c:pt idx="0">
                  <c:v>20933.662210999999</c:v>
                </c:pt>
                <c:pt idx="1">
                  <c:v>11814.670894980218</c:v>
                </c:pt>
                <c:pt idx="2">
                  <c:v>11776.02663</c:v>
                </c:pt>
                <c:pt idx="3">
                  <c:v>9322.8817799999997</c:v>
                </c:pt>
                <c:pt idx="4">
                  <c:v>30636.289175909325</c:v>
                </c:pt>
                <c:pt idx="5">
                  <c:v>7937.18110232867</c:v>
                </c:pt>
                <c:pt idx="6">
                  <c:v>5609.6022910000002</c:v>
                </c:pt>
                <c:pt idx="7">
                  <c:v>5500.3721489999998</c:v>
                </c:pt>
                <c:pt idx="8">
                  <c:v>4973.3965910000006</c:v>
                </c:pt>
                <c:pt idx="9">
                  <c:v>3353.1190153959105</c:v>
                </c:pt>
                <c:pt idx="10">
                  <c:v>3074.0777309100004</c:v>
                </c:pt>
              </c:numCache>
            </c:numRef>
          </c:val>
          <c:extLst>
            <c:ext xmlns:c16="http://schemas.microsoft.com/office/drawing/2014/chart" uri="{C3380CC4-5D6E-409C-BE32-E72D297353CC}">
              <c16:uniqueId val="{00000016-370B-4BCC-B3DF-FAD462FC3D6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'G2.4'!$C$14</c:f>
              <c:strCache>
                <c:ptCount val="1"/>
                <c:pt idx="0">
                  <c:v>2008</c:v>
                </c:pt>
              </c:strCache>
            </c:strRef>
          </c:tx>
          <c:spPr>
            <a:solidFill>
              <a:schemeClr val="accent1"/>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'G2.4'!$C$15:$C$28</c:f>
              <c:numCache>
                <c:formatCode>_-* #,##0_-;\-* #,##0_-;_-* "-"??_-;_-@_-</c:formatCode>
                <c:ptCount val="14"/>
                <c:pt idx="0">
                  <c:v>0</c:v>
                </c:pt>
                <c:pt idx="1">
                  <c:v>0</c:v>
                </c:pt>
                <c:pt idx="2">
                  <c:v>0</c:v>
                </c:pt>
                <c:pt idx="3">
                  <c:v>71.726122689075638</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0-2B7A-4951-860D-637252D3516F}"/>
            </c:ext>
          </c:extLst>
        </c:ser>
        <c:ser>
          <c:idx val="1"/>
          <c:order val="1"/>
          <c:tx>
            <c:strRef>
              <c:f>'G2.4'!$D$14</c:f>
              <c:strCache>
                <c:ptCount val="1"/>
                <c:pt idx="0">
                  <c:v>2009</c:v>
                </c:pt>
              </c:strCache>
            </c:strRef>
          </c:tx>
          <c:spPr>
            <a:solidFill>
              <a:schemeClr val="accent2"/>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'G2.4'!$D$15:$D$28</c:f>
              <c:numCache>
                <c:formatCode>_-* #,##0_-;\-* #,##0_-;_-* "-"??_-;_-@_-</c:formatCode>
                <c:ptCount val="14"/>
                <c:pt idx="0">
                  <c:v>353.74527899999998</c:v>
                </c:pt>
                <c:pt idx="1">
                  <c:v>0</c:v>
                </c:pt>
                <c:pt idx="2">
                  <c:v>186.45303647058824</c:v>
                </c:pt>
                <c:pt idx="3">
                  <c:v>42.016806722689076</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1-2B7A-4951-860D-637252D3516F}"/>
            </c:ext>
          </c:extLst>
        </c:ser>
        <c:ser>
          <c:idx val="2"/>
          <c:order val="2"/>
          <c:tx>
            <c:strRef>
              <c:f>'G2.4'!$E$14</c:f>
              <c:strCache>
                <c:ptCount val="1"/>
                <c:pt idx="0">
                  <c:v>2010</c:v>
                </c:pt>
              </c:strCache>
            </c:strRef>
          </c:tx>
          <c:spPr>
            <a:solidFill>
              <a:schemeClr val="accent3"/>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'G2.4'!$E$15:$E$28</c:f>
              <c:numCache>
                <c:formatCode>_-* #,##0_-;\-* #,##0_-;_-* "-"??_-;_-@_-</c:formatCode>
                <c:ptCount val="14"/>
                <c:pt idx="0">
                  <c:v>1760.5278207244537</c:v>
                </c:pt>
                <c:pt idx="1">
                  <c:v>0</c:v>
                </c:pt>
                <c:pt idx="2">
                  <c:v>129.9523490903</c:v>
                </c:pt>
                <c:pt idx="3">
                  <c:v>28.650563563025212</c:v>
                </c:pt>
                <c:pt idx="4">
                  <c:v>0</c:v>
                </c:pt>
                <c:pt idx="5">
                  <c:v>0</c:v>
                </c:pt>
                <c:pt idx="6">
                  <c:v>0</c:v>
                </c:pt>
                <c:pt idx="7">
                  <c:v>0</c:v>
                </c:pt>
                <c:pt idx="8">
                  <c:v>0</c:v>
                </c:pt>
                <c:pt idx="9">
                  <c:v>0</c:v>
                </c:pt>
                <c:pt idx="10">
                  <c:v>0</c:v>
                </c:pt>
                <c:pt idx="11">
                  <c:v>0</c:v>
                </c:pt>
                <c:pt idx="12">
                  <c:v>0</c:v>
                </c:pt>
                <c:pt idx="13">
                  <c:v>0</c:v>
                </c:pt>
              </c:numCache>
            </c:numRef>
          </c:val>
          <c:extLst>
            <c:ext xmlns:c16="http://schemas.microsoft.com/office/drawing/2014/chart" uri="{C3380CC4-5D6E-409C-BE32-E72D297353CC}">
              <c16:uniqueId val="{00000002-2B7A-4951-860D-637252D3516F}"/>
            </c:ext>
          </c:extLst>
        </c:ser>
        <c:ser>
          <c:idx val="3"/>
          <c:order val="3"/>
          <c:tx>
            <c:strRef>
              <c:f>'G2.4'!$F$14</c:f>
              <c:strCache>
                <c:ptCount val="1"/>
                <c:pt idx="0">
                  <c:v>2011</c:v>
                </c:pt>
              </c:strCache>
            </c:strRef>
          </c:tx>
          <c:spPr>
            <a:solidFill>
              <a:schemeClr val="accent4"/>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'G2.4'!$F$15:$F$28</c:f>
              <c:numCache>
                <c:formatCode>_-* #,##0_-;\-* #,##0_-;_-* "-"??_-;_-@_-</c:formatCode>
                <c:ptCount val="14"/>
                <c:pt idx="0">
                  <c:v>1353.4392230135452</c:v>
                </c:pt>
                <c:pt idx="1">
                  <c:v>44.718901889999998</c:v>
                </c:pt>
                <c:pt idx="2">
                  <c:v>785.48361875000001</c:v>
                </c:pt>
                <c:pt idx="3">
                  <c:v>1029.0264303143697</c:v>
                </c:pt>
                <c:pt idx="4">
                  <c:v>20.704620690000002</c:v>
                </c:pt>
                <c:pt idx="5">
                  <c:v>0</c:v>
                </c:pt>
                <c:pt idx="6">
                  <c:v>0</c:v>
                </c:pt>
                <c:pt idx="7">
                  <c:v>101.5798116</c:v>
                </c:pt>
                <c:pt idx="8">
                  <c:v>0</c:v>
                </c:pt>
                <c:pt idx="9">
                  <c:v>0</c:v>
                </c:pt>
                <c:pt idx="10">
                  <c:v>0</c:v>
                </c:pt>
                <c:pt idx="11">
                  <c:v>51.24</c:v>
                </c:pt>
                <c:pt idx="12">
                  <c:v>0</c:v>
                </c:pt>
                <c:pt idx="13">
                  <c:v>0</c:v>
                </c:pt>
              </c:numCache>
            </c:numRef>
          </c:val>
          <c:extLst>
            <c:ext xmlns:c16="http://schemas.microsoft.com/office/drawing/2014/chart" uri="{C3380CC4-5D6E-409C-BE32-E72D297353CC}">
              <c16:uniqueId val="{00000003-2B7A-4951-860D-637252D3516F}"/>
            </c:ext>
          </c:extLst>
        </c:ser>
        <c:ser>
          <c:idx val="4"/>
          <c:order val="4"/>
          <c:tx>
            <c:strRef>
              <c:f>'G2.4'!$G$14</c:f>
              <c:strCache>
                <c:ptCount val="1"/>
                <c:pt idx="0">
                  <c:v>2012</c:v>
                </c:pt>
              </c:strCache>
            </c:strRef>
          </c:tx>
          <c:spPr>
            <a:solidFill>
              <a:schemeClr val="accent5"/>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'G2.4'!$G$15:$G$28</c:f>
              <c:numCache>
                <c:formatCode>_-* #,##0_-;\-* #,##0_-;_-* "-"??_-;_-@_-</c:formatCode>
                <c:ptCount val="14"/>
                <c:pt idx="0">
                  <c:v>4672.7267727200006</c:v>
                </c:pt>
                <c:pt idx="1">
                  <c:v>223.54362699999999</c:v>
                </c:pt>
                <c:pt idx="2">
                  <c:v>296.14334600000001</c:v>
                </c:pt>
                <c:pt idx="3">
                  <c:v>378.60008809149997</c:v>
                </c:pt>
                <c:pt idx="4">
                  <c:v>82.787177159999999</c:v>
                </c:pt>
                <c:pt idx="5">
                  <c:v>48.62</c:v>
                </c:pt>
                <c:pt idx="6">
                  <c:v>0</c:v>
                </c:pt>
                <c:pt idx="7">
                  <c:v>0</c:v>
                </c:pt>
                <c:pt idx="8">
                  <c:v>193.085386</c:v>
                </c:pt>
                <c:pt idx="9">
                  <c:v>0</c:v>
                </c:pt>
                <c:pt idx="10">
                  <c:v>0</c:v>
                </c:pt>
                <c:pt idx="11">
                  <c:v>136.79598999999999</c:v>
                </c:pt>
                <c:pt idx="12">
                  <c:v>0</c:v>
                </c:pt>
                <c:pt idx="13">
                  <c:v>4.0361399999999996</c:v>
                </c:pt>
              </c:numCache>
            </c:numRef>
          </c:val>
          <c:extLst>
            <c:ext xmlns:c16="http://schemas.microsoft.com/office/drawing/2014/chart" uri="{C3380CC4-5D6E-409C-BE32-E72D297353CC}">
              <c16:uniqueId val="{00000004-2B7A-4951-860D-637252D3516F}"/>
            </c:ext>
          </c:extLst>
        </c:ser>
        <c:ser>
          <c:idx val="5"/>
          <c:order val="5"/>
          <c:tx>
            <c:strRef>
              <c:f>'G2.4'!$H$14</c:f>
              <c:strCache>
                <c:ptCount val="1"/>
                <c:pt idx="0">
                  <c:v>2013</c:v>
                </c:pt>
              </c:strCache>
            </c:strRef>
          </c:tx>
          <c:spPr>
            <a:solidFill>
              <a:schemeClr val="accent6"/>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'G2.4'!$H$15:$H$28</c:f>
              <c:numCache>
                <c:formatCode>_-* #,##0_-;\-* #,##0_-;_-* "-"??_-;_-@_-</c:formatCode>
                <c:ptCount val="14"/>
                <c:pt idx="0">
                  <c:v>6371.3798509999997</c:v>
                </c:pt>
                <c:pt idx="1">
                  <c:v>3131.1794239999999</c:v>
                </c:pt>
                <c:pt idx="2">
                  <c:v>4545.8604349999996</c:v>
                </c:pt>
                <c:pt idx="3">
                  <c:v>630.89344800000003</c:v>
                </c:pt>
                <c:pt idx="4">
                  <c:v>174.84993700000001</c:v>
                </c:pt>
                <c:pt idx="5">
                  <c:v>3557.0012489999999</c:v>
                </c:pt>
                <c:pt idx="6">
                  <c:v>0</c:v>
                </c:pt>
                <c:pt idx="7">
                  <c:v>0</c:v>
                </c:pt>
                <c:pt idx="8">
                  <c:v>97.017182000000005</c:v>
                </c:pt>
                <c:pt idx="9">
                  <c:v>0</c:v>
                </c:pt>
                <c:pt idx="10">
                  <c:v>0</c:v>
                </c:pt>
                <c:pt idx="11">
                  <c:v>0</c:v>
                </c:pt>
                <c:pt idx="12">
                  <c:v>0</c:v>
                </c:pt>
                <c:pt idx="13">
                  <c:v>0</c:v>
                </c:pt>
              </c:numCache>
            </c:numRef>
          </c:val>
          <c:extLst>
            <c:ext xmlns:c16="http://schemas.microsoft.com/office/drawing/2014/chart" uri="{C3380CC4-5D6E-409C-BE32-E72D297353CC}">
              <c16:uniqueId val="{00000005-2B7A-4951-860D-637252D3516F}"/>
            </c:ext>
          </c:extLst>
        </c:ser>
        <c:ser>
          <c:idx val="6"/>
          <c:order val="6"/>
          <c:tx>
            <c:strRef>
              <c:f>'G2.4'!$I$14</c:f>
              <c:strCache>
                <c:ptCount val="1"/>
                <c:pt idx="0">
                  <c:v>2014</c:v>
                </c:pt>
              </c:strCache>
            </c:strRef>
          </c:tx>
          <c:spPr>
            <a:solidFill>
              <a:schemeClr val="accent1">
                <a:lumMod val="60000"/>
              </a:schemeClr>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'G2.4'!$I$15:$I$28</c:f>
              <c:numCache>
                <c:formatCode>_-* #,##0_-;\-* #,##0_-;_-* "-"??_-;_-@_-</c:formatCode>
                <c:ptCount val="14"/>
                <c:pt idx="0">
                  <c:v>21668.268599705909</c:v>
                </c:pt>
                <c:pt idx="1">
                  <c:v>3197.1715399999998</c:v>
                </c:pt>
                <c:pt idx="2">
                  <c:v>500.732753</c:v>
                </c:pt>
                <c:pt idx="3">
                  <c:v>2088.527466</c:v>
                </c:pt>
                <c:pt idx="4">
                  <c:v>2397.8181810000001</c:v>
                </c:pt>
                <c:pt idx="5">
                  <c:v>138.15168299999999</c:v>
                </c:pt>
                <c:pt idx="6">
                  <c:v>866.72835999999995</c:v>
                </c:pt>
                <c:pt idx="7">
                  <c:v>333.217557</c:v>
                </c:pt>
                <c:pt idx="8">
                  <c:v>213.78807599999999</c:v>
                </c:pt>
                <c:pt idx="9">
                  <c:v>1002.681019</c:v>
                </c:pt>
                <c:pt idx="10">
                  <c:v>701.62420299999997</c:v>
                </c:pt>
                <c:pt idx="11">
                  <c:v>26.972653000000001</c:v>
                </c:pt>
                <c:pt idx="12">
                  <c:v>98.114615999999998</c:v>
                </c:pt>
                <c:pt idx="13">
                  <c:v>47.637737000000001</c:v>
                </c:pt>
              </c:numCache>
            </c:numRef>
          </c:val>
          <c:extLst>
            <c:ext xmlns:c16="http://schemas.microsoft.com/office/drawing/2014/chart" uri="{C3380CC4-5D6E-409C-BE32-E72D297353CC}">
              <c16:uniqueId val="{00000006-2B7A-4951-860D-637252D3516F}"/>
            </c:ext>
          </c:extLst>
        </c:ser>
        <c:ser>
          <c:idx val="7"/>
          <c:order val="7"/>
          <c:tx>
            <c:strRef>
              <c:f>'G2.4'!$J$14</c:f>
              <c:strCache>
                <c:ptCount val="1"/>
                <c:pt idx="0">
                  <c:v>2015</c:v>
                </c:pt>
              </c:strCache>
            </c:strRef>
          </c:tx>
          <c:spPr>
            <a:solidFill>
              <a:schemeClr val="accent2">
                <a:lumMod val="60000"/>
              </a:schemeClr>
            </a:solidFill>
            <a:ln>
              <a:noFill/>
            </a:ln>
            <a:effectLst/>
          </c:spPr>
          <c:invertIfNegative val="0"/>
          <c:cat>
            <c:strRef>
              <c:f>'G2.4'!$B$15:$B$28</c:f>
              <c:strCache>
                <c:ptCount val="14"/>
                <c:pt idx="0">
                  <c:v>Metropolitana</c:v>
                </c:pt>
                <c:pt idx="1">
                  <c:v>Antofagasta</c:v>
                </c:pt>
                <c:pt idx="2">
                  <c:v>BíoBío</c:v>
                </c:pt>
                <c:pt idx="3">
                  <c:v>Los Lagos</c:v>
                </c:pt>
                <c:pt idx="4">
                  <c:v>Valparaíso</c:v>
                </c:pt>
                <c:pt idx="5">
                  <c:v>Maule</c:v>
                </c:pt>
                <c:pt idx="6">
                  <c:v>Atacama</c:v>
                </c:pt>
                <c:pt idx="7">
                  <c:v>O'Higgins</c:v>
                </c:pt>
                <c:pt idx="8">
                  <c:v>Araucanía</c:v>
                </c:pt>
                <c:pt idx="9">
                  <c:v>Coquimbo</c:v>
                </c:pt>
                <c:pt idx="10">
                  <c:v>Arica y Parinacota</c:v>
                </c:pt>
                <c:pt idx="11">
                  <c:v>Magallanes</c:v>
                </c:pt>
                <c:pt idx="12">
                  <c:v>Tarapacá</c:v>
                </c:pt>
                <c:pt idx="13">
                  <c:v>Los Ríos</c:v>
                </c:pt>
              </c:strCache>
            </c:strRef>
          </c:cat>
          <c:val>
            <c:numRef>
              <c:f>'G2.4'!$J$15:$J$28</c:f>
              <c:numCache>
                <c:formatCode>_-* #,##0_-;\-* #,##0_-;_-* "-"??_-;_-@_-</c:formatCode>
                <c:ptCount val="14"/>
                <c:pt idx="0">
                  <c:v>27471.102987328672</c:v>
                </c:pt>
                <c:pt idx="1">
                  <c:v>5184.1463379999996</c:v>
                </c:pt>
                <c:pt idx="2">
                  <c:v>4869.4198850000002</c:v>
                </c:pt>
                <c:pt idx="3">
                  <c:v>4384.3364829999982</c:v>
                </c:pt>
                <c:pt idx="4">
                  <c:v>2677.3703270000001</c:v>
                </c:pt>
                <c:pt idx="5">
                  <c:v>796.77221699999996</c:v>
                </c:pt>
                <c:pt idx="6">
                  <c:v>2402.8778000000002</c:v>
                </c:pt>
                <c:pt idx="7">
                  <c:v>2803.8353120000002</c:v>
                </c:pt>
                <c:pt idx="8">
                  <c:v>534.19914100000005</c:v>
                </c:pt>
                <c:pt idx="9">
                  <c:v>0</c:v>
                </c:pt>
                <c:pt idx="10">
                  <c:v>0</c:v>
                </c:pt>
                <c:pt idx="11">
                  <c:v>0</c:v>
                </c:pt>
                <c:pt idx="12">
                  <c:v>0</c:v>
                </c:pt>
                <c:pt idx="13">
                  <c:v>22</c:v>
                </c:pt>
              </c:numCache>
            </c:numRef>
          </c:val>
          <c:extLst>
            <c:ext xmlns:c16="http://schemas.microsoft.com/office/drawing/2014/chart" uri="{C3380CC4-5D6E-409C-BE32-E72D297353CC}">
              <c16:uniqueId val="{00000007-2B7A-4951-860D-637252D3516F}"/>
            </c:ext>
          </c:extLst>
        </c:ser>
        <c:dLbls>
          <c:showLegendKey val="0"/>
          <c:showVal val="0"/>
          <c:showCatName val="0"/>
          <c:showSerName val="0"/>
          <c:showPercent val="0"/>
          <c:showBubbleSize val="0"/>
        </c:dLbls>
        <c:gapWidth val="150"/>
        <c:overlap val="100"/>
        <c:axId val="2033003439"/>
        <c:axId val="2032990127"/>
      </c:barChart>
      <c:catAx>
        <c:axId val="203300343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32990127"/>
        <c:crosses val="autoZero"/>
        <c:auto val="1"/>
        <c:lblAlgn val="ctr"/>
        <c:lblOffset val="100"/>
        <c:noMultiLvlLbl val="0"/>
      </c:catAx>
      <c:valAx>
        <c:axId val="2032990127"/>
        <c:scaling>
          <c:orientation val="minMax"/>
        </c:scaling>
        <c:delete val="0"/>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2033003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'G3.1'!$D$2</c:f>
              <c:strCache>
                <c:ptCount val="1"/>
                <c:pt idx="0">
                  <c:v>Beneficio tributario ejecutado ($MM)</c:v>
                </c:pt>
              </c:strCache>
            </c:strRef>
          </c:tx>
          <c:spPr>
            <a:solidFill>
              <a:schemeClr val="accent2"/>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E83-48E8-A457-8A8B89BFD3AC}"/>
                </c:ext>
              </c:extLst>
            </c:dLbl>
            <c:dLbl>
              <c:idx val="1"/>
              <c:delete val="1"/>
              <c:extLst>
                <c:ext xmlns:c15="http://schemas.microsoft.com/office/drawing/2012/chart" uri="{CE6537A1-D6FC-4f65-9D91-7224C49458BB}"/>
                <c:ext xmlns:c16="http://schemas.microsoft.com/office/drawing/2014/chart" uri="{C3380CC4-5D6E-409C-BE32-E72D297353CC}">
                  <c16:uniqueId val="{00000001-BE83-48E8-A457-8A8B89BFD3AC}"/>
                </c:ext>
              </c:extLst>
            </c:dLbl>
            <c:dLbl>
              <c:idx val="2"/>
              <c:delete val="1"/>
              <c:extLst>
                <c:ext xmlns:c15="http://schemas.microsoft.com/office/drawing/2012/chart" uri="{CE6537A1-D6FC-4f65-9D91-7224C49458BB}"/>
                <c:ext xmlns:c16="http://schemas.microsoft.com/office/drawing/2014/chart" uri="{C3380CC4-5D6E-409C-BE32-E72D297353CC}">
                  <c16:uniqueId val="{00000002-BE83-48E8-A457-8A8B89BFD3AC}"/>
                </c:ext>
              </c:extLst>
            </c:dLbl>
            <c:dLbl>
              <c:idx val="3"/>
              <c:delete val="1"/>
              <c:extLst>
                <c:ext xmlns:c15="http://schemas.microsoft.com/office/drawing/2012/chart" uri="{CE6537A1-D6FC-4f65-9D91-7224C49458BB}"/>
                <c:ext xmlns:c16="http://schemas.microsoft.com/office/drawing/2014/chart" uri="{C3380CC4-5D6E-409C-BE32-E72D297353CC}">
                  <c16:uniqueId val="{00000003-BE83-48E8-A457-8A8B89BFD3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'G3.1'!$B$3:$B$10</c:f>
              <c:numCache>
                <c:formatCode>General</c:formatCode>
                <c:ptCount val="8"/>
                <c:pt idx="0">
                  <c:v>2008</c:v>
                </c:pt>
                <c:pt idx="1">
                  <c:v>2009</c:v>
                </c:pt>
                <c:pt idx="2">
                  <c:v>2010</c:v>
                </c:pt>
                <c:pt idx="3">
                  <c:v>2011</c:v>
                </c:pt>
                <c:pt idx="4">
                  <c:v>2012</c:v>
                </c:pt>
                <c:pt idx="5">
                  <c:v>2013</c:v>
                </c:pt>
                <c:pt idx="6">
                  <c:v>2014</c:v>
                </c:pt>
                <c:pt idx="7">
                  <c:v>2015</c:v>
                </c:pt>
              </c:numCache>
            </c:numRef>
          </c:cat>
          <c:val>
            <c:numRef>
              <c:f>'G3.1'!$D$3:$D$10</c:f>
              <c:numCache>
                <c:formatCode>General</c:formatCode>
                <c:ptCount val="8"/>
                <c:pt idx="0">
                  <c:v>0</c:v>
                </c:pt>
                <c:pt idx="1">
                  <c:v>0</c:v>
                </c:pt>
                <c:pt idx="2">
                  <c:v>0</c:v>
                </c:pt>
                <c:pt idx="3">
                  <c:v>0</c:v>
                </c:pt>
                <c:pt idx="4" formatCode="_-* #,##0_-;\-* #,##0_-;_-* &quot;-&quot;??_-;_-@_-">
                  <c:v>493</c:v>
                </c:pt>
                <c:pt idx="5" formatCode="_-* #,##0_-;\-* #,##0_-;_-* &quot;-&quot;??_-;_-@_-">
                  <c:v>2701</c:v>
                </c:pt>
                <c:pt idx="6" formatCode="_-* #,##0_-;\-* #,##0_-;_-* &quot;-&quot;??_-;_-@_-">
                  <c:v>9754.4189999999999</c:v>
                </c:pt>
                <c:pt idx="7" formatCode="_-* #,##0_-;\-* #,##0_-;_-* &quot;-&quot;??_-;_-@_-">
                  <c:v>8549.8230000000003</c:v>
                </c:pt>
              </c:numCache>
            </c:numRef>
          </c:val>
          <c:extLst>
            <c:ext xmlns:c16="http://schemas.microsoft.com/office/drawing/2014/chart" uri="{C3380CC4-5D6E-409C-BE32-E72D297353CC}">
              <c16:uniqueId val="{00000004-BE83-48E8-A457-8A8B89BFD3AC}"/>
            </c:ext>
          </c:extLst>
        </c:ser>
        <c:dLbls>
          <c:showLegendKey val="0"/>
          <c:showVal val="0"/>
          <c:showCatName val="0"/>
          <c:showSerName val="0"/>
          <c:showPercent val="0"/>
          <c:showBubbleSize val="0"/>
        </c:dLbls>
        <c:gapWidth val="150"/>
        <c:axId val="703292015"/>
        <c:axId val="703297007"/>
      </c:barChart>
      <c:lineChart>
        <c:grouping val="standard"/>
        <c:varyColors val="0"/>
        <c:ser>
          <c:idx val="0"/>
          <c:order val="0"/>
          <c:tx>
            <c:strRef>
              <c:f>'G3.1'!$C$2</c:f>
              <c:strCache>
                <c:ptCount val="1"/>
                <c:pt idx="0">
                  <c:v>Monto certificado Ley I+D ($MM)</c:v>
                </c:pt>
              </c:strCache>
            </c:strRef>
          </c:tx>
          <c:spPr>
            <a:ln w="28575" cap="rnd">
              <a:solidFill>
                <a:schemeClr val="accent1"/>
              </a:solidFill>
              <a:round/>
            </a:ln>
            <a:effectLst/>
          </c:spPr>
          <c:marker>
            <c:symbol val="none"/>
          </c:marker>
          <c:dLbls>
            <c:dLbl>
              <c:idx val="0"/>
              <c:layout>
                <c:manualLayout>
                  <c:x val="-2.5000000000000026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83-48E8-A457-8A8B89BFD3AC}"/>
                </c:ext>
              </c:extLst>
            </c:dLbl>
            <c:dLbl>
              <c:idx val="1"/>
              <c:layout>
                <c:manualLayout>
                  <c:x val="-1.6666666666666666E-2"/>
                  <c:y val="-6.94444444444445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83-48E8-A457-8A8B89BFD3AC}"/>
                </c:ext>
              </c:extLst>
            </c:dLbl>
            <c:dLbl>
              <c:idx val="2"/>
              <c:layout>
                <c:manualLayout>
                  <c:x val="-8.3333333333333332E-3"/>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83-48E8-A457-8A8B89BFD3AC}"/>
                </c:ext>
              </c:extLst>
            </c:dLbl>
            <c:dLbl>
              <c:idx val="3"/>
              <c:layout>
                <c:manualLayout>
                  <c:x val="-8.3333333333333332E-3"/>
                  <c:y val="-9.72222222222222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83-48E8-A457-8A8B89BFD3AC}"/>
                </c:ext>
              </c:extLst>
            </c:dLbl>
            <c:dLbl>
              <c:idx val="4"/>
              <c:layout>
                <c:manualLayout>
                  <c:x val="-4.1666666666666768E-2"/>
                  <c:y val="-0.1296296296296296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accent1"/>
                      </a:solidFill>
                      <a:latin typeface="+mn-lt"/>
                      <a:ea typeface="+mn-ea"/>
                      <a:cs typeface="+mn-cs"/>
                    </a:defRPr>
                  </a:pPr>
                  <a:endParaRPr lang="es-CL"/>
                </a:p>
              </c:txPr>
              <c:showLegendKey val="0"/>
              <c:showVal val="1"/>
              <c:showCatName val="0"/>
              <c:showSerName val="0"/>
              <c:showPercent val="0"/>
              <c:showBubbleSize val="0"/>
              <c:extLst>
                <c:ext xmlns:c15="http://schemas.microsoft.com/office/drawing/2012/chart" uri="{CE6537A1-D6FC-4f65-9D91-7224C49458BB}">
                  <c15:layout>
                    <c:manualLayout>
                      <c:w val="7.9430664916885385E-2"/>
                      <c:h val="0.16659740449110527"/>
                    </c:manualLayout>
                  </c15:layout>
                </c:ext>
                <c:ext xmlns:c16="http://schemas.microsoft.com/office/drawing/2014/chart" uri="{C3380CC4-5D6E-409C-BE32-E72D297353CC}">
                  <c16:uniqueId val="{00000009-BE83-48E8-A457-8A8B89BFD3A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'G3.1'!$B$3:$B$10</c:f>
              <c:numCache>
                <c:formatCode>General</c:formatCode>
                <c:ptCount val="8"/>
                <c:pt idx="0">
                  <c:v>2008</c:v>
                </c:pt>
                <c:pt idx="1">
                  <c:v>2009</c:v>
                </c:pt>
                <c:pt idx="2">
                  <c:v>2010</c:v>
                </c:pt>
                <c:pt idx="3">
                  <c:v>2011</c:v>
                </c:pt>
                <c:pt idx="4">
                  <c:v>2012</c:v>
                </c:pt>
                <c:pt idx="5">
                  <c:v>2013</c:v>
                </c:pt>
                <c:pt idx="6">
                  <c:v>2014</c:v>
                </c:pt>
                <c:pt idx="7">
                  <c:v>2015</c:v>
                </c:pt>
              </c:numCache>
            </c:numRef>
          </c:cat>
          <c:val>
            <c:numRef>
              <c:f>'G3.1'!$C$3:$C$10</c:f>
              <c:numCache>
                <c:formatCode>_-* #,##0_-;\-* #,##0_-;_-* "-"??_-;_-@_-</c:formatCode>
                <c:ptCount val="8"/>
                <c:pt idx="0">
                  <c:v>71.726122689075638</c:v>
                </c:pt>
                <c:pt idx="1">
                  <c:v>582.21512219327735</c:v>
                </c:pt>
                <c:pt idx="2">
                  <c:v>1919.1307333777791</c:v>
                </c:pt>
                <c:pt idx="3">
                  <c:v>3386.1926062579155</c:v>
                </c:pt>
                <c:pt idx="4">
                  <c:v>6036.3385269715</c:v>
                </c:pt>
                <c:pt idx="5">
                  <c:v>18508.181526</c:v>
                </c:pt>
                <c:pt idx="6">
                  <c:v>33281.434443705912</c:v>
                </c:pt>
                <c:pt idx="7">
                  <c:v>51146.060490328673</c:v>
                </c:pt>
              </c:numCache>
            </c:numRef>
          </c:val>
          <c:smooth val="0"/>
          <c:extLst>
            <c:ext xmlns:c16="http://schemas.microsoft.com/office/drawing/2014/chart" uri="{C3380CC4-5D6E-409C-BE32-E72D297353CC}">
              <c16:uniqueId val="{0000000A-BE83-48E8-A457-8A8B89BFD3AC}"/>
            </c:ext>
          </c:extLst>
        </c:ser>
        <c:dLbls>
          <c:showLegendKey val="0"/>
          <c:showVal val="0"/>
          <c:showCatName val="0"/>
          <c:showSerName val="0"/>
          <c:showPercent val="0"/>
          <c:showBubbleSize val="0"/>
        </c:dLbls>
        <c:marker val="1"/>
        <c:smooth val="0"/>
        <c:axId val="703292015"/>
        <c:axId val="703297007"/>
      </c:lineChart>
      <c:catAx>
        <c:axId val="70329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03297007"/>
        <c:crosses val="autoZero"/>
        <c:auto val="1"/>
        <c:lblAlgn val="ctr"/>
        <c:lblOffset val="100"/>
        <c:noMultiLvlLbl val="0"/>
      </c:catAx>
      <c:valAx>
        <c:axId val="7032970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70329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84013806810887E-2"/>
          <c:y val="6.5185185185185179E-2"/>
          <c:w val="0.90666939660875523"/>
          <c:h val="0.75586211723534569"/>
        </c:manualLayout>
      </c:layout>
      <c:barChart>
        <c:barDir val="col"/>
        <c:grouping val="clustered"/>
        <c:varyColors val="0"/>
        <c:ser>
          <c:idx val="0"/>
          <c:order val="0"/>
          <c:tx>
            <c:strRef>
              <c:f>'G4'!$A$2</c:f>
              <c:strCache>
                <c:ptCount val="1"/>
                <c:pt idx="0">
                  <c:v>Gasto en I+D ejecutado por empresas</c:v>
                </c:pt>
              </c:strCache>
            </c:strRef>
          </c:tx>
          <c:spPr>
            <a:solidFill>
              <a:schemeClr val="accent1"/>
            </a:solidFill>
            <a:ln>
              <a:noFill/>
            </a:ln>
            <a:effectLst/>
          </c:spPr>
          <c:invertIfNegative val="0"/>
          <c:cat>
            <c:numRef>
              <c:f>'G4'!$B$1:$H$1</c:f>
              <c:numCache>
                <c:formatCode>General</c:formatCode>
                <c:ptCount val="7"/>
                <c:pt idx="0">
                  <c:v>2008</c:v>
                </c:pt>
                <c:pt idx="1">
                  <c:v>2009</c:v>
                </c:pt>
                <c:pt idx="2">
                  <c:v>2010</c:v>
                </c:pt>
                <c:pt idx="3">
                  <c:v>2011</c:v>
                </c:pt>
                <c:pt idx="4">
                  <c:v>2012</c:v>
                </c:pt>
                <c:pt idx="5">
                  <c:v>2013</c:v>
                </c:pt>
                <c:pt idx="6">
                  <c:v>2014</c:v>
                </c:pt>
              </c:numCache>
            </c:numRef>
          </c:cat>
          <c:val>
            <c:numRef>
              <c:f>'G4'!$B$2:$H$2</c:f>
              <c:numCache>
                <c:formatCode>0%</c:formatCode>
                <c:ptCount val="7"/>
                <c:pt idx="0">
                  <c:v>0.35</c:v>
                </c:pt>
                <c:pt idx="1">
                  <c:v>0.4</c:v>
                </c:pt>
                <c:pt idx="2">
                  <c:v>0.28999999999999998</c:v>
                </c:pt>
                <c:pt idx="3">
                  <c:v>0.3</c:v>
                </c:pt>
                <c:pt idx="4">
                  <c:v>0.34</c:v>
                </c:pt>
                <c:pt idx="5">
                  <c:v>0.34</c:v>
                </c:pt>
                <c:pt idx="6">
                  <c:v>0.36</c:v>
                </c:pt>
              </c:numCache>
            </c:numRef>
          </c:val>
          <c:extLst>
            <c:ext xmlns:c16="http://schemas.microsoft.com/office/drawing/2014/chart" uri="{C3380CC4-5D6E-409C-BE32-E72D297353CC}">
              <c16:uniqueId val="{00000000-2BB5-489D-9095-BC4BAC1BDEB2}"/>
            </c:ext>
          </c:extLst>
        </c:ser>
        <c:ser>
          <c:idx val="1"/>
          <c:order val="1"/>
          <c:tx>
            <c:strRef>
              <c:f>'G4'!$A$3</c:f>
              <c:strCache>
                <c:ptCount val="1"/>
                <c:pt idx="0">
                  <c:v>Gasto en I+D financiado por empresas</c:v>
                </c:pt>
              </c:strCache>
            </c:strRef>
          </c:tx>
          <c:spPr>
            <a:solidFill>
              <a:schemeClr val="accent2"/>
            </a:solidFill>
            <a:ln>
              <a:noFill/>
            </a:ln>
            <a:effectLst/>
          </c:spPr>
          <c:invertIfNegative val="0"/>
          <c:cat>
            <c:numRef>
              <c:f>'G4'!$B$1:$H$1</c:f>
              <c:numCache>
                <c:formatCode>General</c:formatCode>
                <c:ptCount val="7"/>
                <c:pt idx="0">
                  <c:v>2008</c:v>
                </c:pt>
                <c:pt idx="1">
                  <c:v>2009</c:v>
                </c:pt>
                <c:pt idx="2">
                  <c:v>2010</c:v>
                </c:pt>
                <c:pt idx="3">
                  <c:v>2011</c:v>
                </c:pt>
                <c:pt idx="4">
                  <c:v>2012</c:v>
                </c:pt>
                <c:pt idx="5">
                  <c:v>2013</c:v>
                </c:pt>
                <c:pt idx="6">
                  <c:v>2014</c:v>
                </c:pt>
              </c:numCache>
            </c:numRef>
          </c:cat>
          <c:val>
            <c:numRef>
              <c:f>'G4'!$B$3:$H$3</c:f>
              <c:numCache>
                <c:formatCode>0%</c:formatCode>
                <c:ptCount val="7"/>
                <c:pt idx="0">
                  <c:v>0.39</c:v>
                </c:pt>
                <c:pt idx="1">
                  <c:v>0.44</c:v>
                </c:pt>
                <c:pt idx="2">
                  <c:v>0.27</c:v>
                </c:pt>
                <c:pt idx="3">
                  <c:v>0.25</c:v>
                </c:pt>
                <c:pt idx="4">
                  <c:v>0.34</c:v>
                </c:pt>
                <c:pt idx="5">
                  <c:v>0.35</c:v>
                </c:pt>
                <c:pt idx="6">
                  <c:v>0.34</c:v>
                </c:pt>
              </c:numCache>
            </c:numRef>
          </c:val>
          <c:extLst>
            <c:ext xmlns:c16="http://schemas.microsoft.com/office/drawing/2014/chart" uri="{C3380CC4-5D6E-409C-BE32-E72D297353CC}">
              <c16:uniqueId val="{00000001-2BB5-489D-9095-BC4BAC1BDEB2}"/>
            </c:ext>
          </c:extLst>
        </c:ser>
        <c:dLbls>
          <c:showLegendKey val="0"/>
          <c:showVal val="0"/>
          <c:showCatName val="0"/>
          <c:showSerName val="0"/>
          <c:showPercent val="0"/>
          <c:showBubbleSize val="0"/>
        </c:dLbls>
        <c:gapWidth val="219"/>
        <c:overlap val="-27"/>
        <c:axId val="323820320"/>
        <c:axId val="323820880"/>
      </c:barChart>
      <c:catAx>
        <c:axId val="323820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3820880"/>
        <c:crosses val="autoZero"/>
        <c:auto val="1"/>
        <c:lblAlgn val="ctr"/>
        <c:lblOffset val="100"/>
        <c:noMultiLvlLbl val="0"/>
      </c:catAx>
      <c:valAx>
        <c:axId val="323820880"/>
        <c:scaling>
          <c:orientation val="minMax"/>
          <c:max val="0.45"/>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3820320"/>
        <c:crosses val="autoZero"/>
        <c:crossBetween val="between"/>
        <c:majorUnit val="5.000000000000001E-2"/>
      </c:valAx>
      <c:spPr>
        <a:noFill/>
        <a:ln>
          <a:noFill/>
        </a:ln>
        <a:effectLst/>
      </c:spPr>
    </c:plotArea>
    <c:legend>
      <c:legendPos val="r"/>
      <c:layout>
        <c:manualLayout>
          <c:xMode val="edge"/>
          <c:yMode val="edge"/>
          <c:x val="6.3799746550668501E-2"/>
          <c:y val="0.89219764541880398"/>
          <c:w val="0.85770157547919657"/>
          <c:h val="0.103706503353747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no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0.35426</cdr:x>
      <cdr:y>0.93284</cdr:y>
    </cdr:from>
    <cdr:to>
      <cdr:x>0.36225</cdr:x>
      <cdr:y>0.95895</cdr:y>
    </cdr:to>
    <cdr:sp macro="" textlink="">
      <cdr:nvSpPr>
        <cdr:cNvPr id="2" name="Rectangle 1"/>
        <cdr:cNvSpPr/>
      </cdr:nvSpPr>
      <cdr:spPr>
        <a:xfrm xmlns:a="http://schemas.openxmlformats.org/drawingml/2006/main">
          <a:off x="2027990" y="2381249"/>
          <a:ext cx="45719" cy="66675"/>
        </a:xfrm>
        <a:prstGeom xmlns:a="http://schemas.openxmlformats.org/drawingml/2006/main" prst="rect">
          <a:avLst/>
        </a:prstGeom>
        <a:solidFill xmlns:a="http://schemas.openxmlformats.org/drawingml/2006/main">
          <a:srgbClr val="8B73B3"/>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ES"/>
        </a:p>
      </cdr:txBody>
    </cdr:sp>
  </cdr:relSizeAnchor>
  <cdr:relSizeAnchor xmlns:cdr="http://schemas.openxmlformats.org/drawingml/2006/chartDrawing">
    <cdr:from>
      <cdr:x>0.01164</cdr:x>
      <cdr:y>0.0207</cdr:y>
    </cdr:from>
    <cdr:to>
      <cdr:x>0.09818</cdr:x>
      <cdr:y>0.08972</cdr:y>
    </cdr:to>
    <cdr:sp macro="" textlink="">
      <cdr:nvSpPr>
        <cdr:cNvPr id="4" name="TextBox 3"/>
        <cdr:cNvSpPr txBox="1"/>
      </cdr:nvSpPr>
      <cdr:spPr>
        <a:xfrm xmlns:a="http://schemas.openxmlformats.org/drawingml/2006/main">
          <a:off x="66653" y="52830"/>
          <a:ext cx="495400" cy="176188"/>
        </a:xfrm>
        <a:prstGeom xmlns:a="http://schemas.openxmlformats.org/drawingml/2006/main" prst="rect">
          <a:avLst/>
        </a:prstGeom>
      </cdr:spPr>
      <cdr:txBody>
        <a:bodyPr xmlns:a="http://schemas.openxmlformats.org/drawingml/2006/main" vertOverflow="clip" wrap="square" lIns="0" rIns="0" rtlCol="0"/>
        <a:lstStyle xmlns:a="http://schemas.openxmlformats.org/drawingml/2006/main"/>
        <a:p xmlns:a="http://schemas.openxmlformats.org/drawingml/2006/main">
          <a:r>
            <a:rPr lang="en-US" sz="800" b="0" i="0">
              <a:solidFill>
                <a:srgbClr val="000000"/>
              </a:solidFill>
              <a:latin typeface="Arial Narrow"/>
              <a:cs typeface="Arial" pitchFamily="34" charset="0"/>
            </a:rPr>
            <a:t>1-B index</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3F6E1-CCE9-4440-BCBF-BD38933A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8590</Words>
  <Characters>47246</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Martner Sota</dc:creator>
  <cp:keywords/>
  <dc:description/>
  <cp:lastModifiedBy>Rossana Andrea Chavez Molina</cp:lastModifiedBy>
  <cp:revision>5</cp:revision>
  <dcterms:created xsi:type="dcterms:W3CDTF">2017-01-04T15:11:00Z</dcterms:created>
  <dcterms:modified xsi:type="dcterms:W3CDTF">2017-01-04T15:27:00Z</dcterms:modified>
</cp:coreProperties>
</file>